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4FE68" w14:textId="77777777" w:rsidR="0022679C" w:rsidRPr="0022679C" w:rsidRDefault="0022679C" w:rsidP="004A2999">
      <w:pPr>
        <w:pStyle w:val="Default"/>
        <w:ind w:left="1134" w:right="859"/>
        <w:contextualSpacing/>
        <w:jc w:val="center"/>
        <w:rPr>
          <w:rFonts w:asciiTheme="majorHAnsi" w:hAnsiTheme="majorHAnsi" w:cstheme="majorHAnsi"/>
          <w:color w:val="auto"/>
        </w:rPr>
      </w:pPr>
    </w:p>
    <w:p w14:paraId="47709926" w14:textId="30F5930C" w:rsidR="0022679C" w:rsidRDefault="0022679C" w:rsidP="004A2999">
      <w:pPr>
        <w:pStyle w:val="Default"/>
        <w:ind w:left="1134" w:right="859"/>
        <w:contextualSpacing/>
        <w:jc w:val="center"/>
        <w:rPr>
          <w:rFonts w:asciiTheme="majorHAnsi" w:hAnsiTheme="majorHAnsi" w:cstheme="majorHAnsi"/>
          <w:b/>
          <w:bCs/>
          <w:color w:val="auto"/>
          <w:sz w:val="32"/>
          <w:szCs w:val="32"/>
        </w:rPr>
      </w:pPr>
      <w:r w:rsidRPr="0022679C">
        <w:rPr>
          <w:rFonts w:asciiTheme="majorHAnsi" w:hAnsiTheme="majorHAnsi" w:cstheme="majorHAnsi"/>
          <w:b/>
          <w:bCs/>
          <w:color w:val="auto"/>
          <w:sz w:val="32"/>
          <w:szCs w:val="32"/>
        </w:rPr>
        <w:t xml:space="preserve">COMUNE DI </w:t>
      </w:r>
      <w:r w:rsidR="00A6469A">
        <w:rPr>
          <w:rFonts w:asciiTheme="majorHAnsi" w:hAnsiTheme="majorHAnsi" w:cstheme="majorHAnsi"/>
          <w:b/>
          <w:bCs/>
          <w:color w:val="auto"/>
          <w:sz w:val="32"/>
          <w:szCs w:val="32"/>
        </w:rPr>
        <w:t>CERVENO</w:t>
      </w:r>
    </w:p>
    <w:p w14:paraId="585E7191" w14:textId="16BA37AE" w:rsidR="0022679C" w:rsidRPr="0022679C" w:rsidRDefault="0022679C" w:rsidP="004A2999">
      <w:pPr>
        <w:pStyle w:val="Default"/>
        <w:ind w:left="1134" w:right="859"/>
        <w:contextualSpacing/>
        <w:jc w:val="center"/>
        <w:rPr>
          <w:rFonts w:asciiTheme="majorHAnsi" w:hAnsiTheme="majorHAnsi" w:cstheme="majorHAnsi"/>
          <w:b/>
          <w:bCs/>
          <w:color w:val="auto"/>
          <w:sz w:val="20"/>
          <w:szCs w:val="20"/>
        </w:rPr>
      </w:pPr>
      <w:r w:rsidRPr="0022679C">
        <w:rPr>
          <w:rFonts w:asciiTheme="majorHAnsi" w:hAnsiTheme="majorHAnsi" w:cstheme="majorHAnsi"/>
          <w:b/>
          <w:bCs/>
          <w:color w:val="auto"/>
          <w:sz w:val="20"/>
          <w:szCs w:val="20"/>
        </w:rPr>
        <w:t xml:space="preserve">PROVINCIA DI </w:t>
      </w:r>
      <w:r w:rsidR="00A6469A">
        <w:rPr>
          <w:rFonts w:asciiTheme="majorHAnsi" w:hAnsiTheme="majorHAnsi" w:cstheme="majorHAnsi"/>
          <w:b/>
          <w:bCs/>
          <w:color w:val="auto"/>
          <w:sz w:val="20"/>
          <w:szCs w:val="20"/>
        </w:rPr>
        <w:t>BRESCIA</w:t>
      </w:r>
    </w:p>
    <w:p w14:paraId="3A65BA48" w14:textId="77777777" w:rsidR="0022679C" w:rsidRPr="0022679C" w:rsidRDefault="0022679C" w:rsidP="004A2999">
      <w:pPr>
        <w:pStyle w:val="Default"/>
        <w:ind w:left="1134" w:right="859"/>
        <w:contextualSpacing/>
        <w:jc w:val="center"/>
        <w:rPr>
          <w:rFonts w:asciiTheme="majorHAnsi" w:hAnsiTheme="majorHAnsi" w:cstheme="majorHAnsi"/>
          <w:b/>
          <w:bCs/>
          <w:color w:val="auto"/>
          <w:sz w:val="20"/>
          <w:szCs w:val="20"/>
        </w:rPr>
      </w:pPr>
    </w:p>
    <w:p w14:paraId="2F5A473E" w14:textId="77777777" w:rsidR="0022679C" w:rsidRDefault="0022679C" w:rsidP="004A2999">
      <w:pPr>
        <w:pStyle w:val="Default"/>
        <w:ind w:left="1134" w:right="859"/>
        <w:contextualSpacing/>
        <w:jc w:val="center"/>
        <w:rPr>
          <w:rFonts w:asciiTheme="majorHAnsi" w:hAnsiTheme="majorHAnsi" w:cstheme="majorHAnsi"/>
          <w:b/>
          <w:bCs/>
          <w:color w:val="auto"/>
          <w:sz w:val="32"/>
          <w:szCs w:val="32"/>
        </w:rPr>
      </w:pPr>
    </w:p>
    <w:p w14:paraId="049D4492" w14:textId="77777777" w:rsidR="0022679C" w:rsidRDefault="0022679C" w:rsidP="004A2999">
      <w:pPr>
        <w:pStyle w:val="Default"/>
        <w:ind w:left="1134" w:right="859"/>
        <w:contextualSpacing/>
        <w:jc w:val="center"/>
        <w:rPr>
          <w:rFonts w:asciiTheme="majorHAnsi" w:hAnsiTheme="majorHAnsi" w:cstheme="majorHAnsi"/>
          <w:b/>
          <w:bCs/>
          <w:color w:val="auto"/>
          <w:sz w:val="32"/>
          <w:szCs w:val="32"/>
        </w:rPr>
      </w:pPr>
    </w:p>
    <w:p w14:paraId="0F0C04FE" w14:textId="77777777" w:rsidR="0022679C" w:rsidRDefault="0022679C" w:rsidP="004A2999">
      <w:pPr>
        <w:pStyle w:val="Default"/>
        <w:ind w:left="1134" w:right="859"/>
        <w:contextualSpacing/>
        <w:jc w:val="center"/>
        <w:rPr>
          <w:rFonts w:asciiTheme="majorHAnsi" w:hAnsiTheme="majorHAnsi" w:cstheme="majorHAnsi"/>
          <w:b/>
          <w:bCs/>
          <w:color w:val="auto"/>
          <w:sz w:val="32"/>
          <w:szCs w:val="32"/>
        </w:rPr>
      </w:pPr>
    </w:p>
    <w:p w14:paraId="089ADEE1" w14:textId="77777777" w:rsidR="0022679C" w:rsidRDefault="0022679C" w:rsidP="004A2999">
      <w:pPr>
        <w:pStyle w:val="Default"/>
        <w:ind w:left="1134" w:right="859"/>
        <w:contextualSpacing/>
        <w:jc w:val="center"/>
        <w:rPr>
          <w:rFonts w:asciiTheme="majorHAnsi" w:hAnsiTheme="majorHAnsi" w:cstheme="majorHAnsi"/>
          <w:b/>
          <w:bCs/>
          <w:color w:val="auto"/>
          <w:sz w:val="32"/>
          <w:szCs w:val="32"/>
        </w:rPr>
      </w:pPr>
    </w:p>
    <w:p w14:paraId="17F0810D" w14:textId="77777777" w:rsidR="0022679C" w:rsidRDefault="0022679C" w:rsidP="004A2999">
      <w:pPr>
        <w:pStyle w:val="Default"/>
        <w:ind w:left="1134" w:right="859"/>
        <w:contextualSpacing/>
        <w:jc w:val="center"/>
        <w:rPr>
          <w:rFonts w:asciiTheme="majorHAnsi" w:hAnsiTheme="majorHAnsi" w:cstheme="majorHAnsi"/>
          <w:b/>
          <w:bCs/>
          <w:color w:val="auto"/>
          <w:sz w:val="32"/>
          <w:szCs w:val="32"/>
        </w:rPr>
      </w:pPr>
    </w:p>
    <w:p w14:paraId="39CBE2C8" w14:textId="77777777" w:rsidR="0022679C" w:rsidRDefault="0022679C" w:rsidP="004A2999">
      <w:pPr>
        <w:pStyle w:val="Default"/>
        <w:ind w:left="1134" w:right="859"/>
        <w:contextualSpacing/>
        <w:jc w:val="center"/>
        <w:rPr>
          <w:rFonts w:asciiTheme="majorHAnsi" w:hAnsiTheme="majorHAnsi" w:cstheme="majorHAnsi"/>
          <w:b/>
          <w:bCs/>
          <w:color w:val="auto"/>
          <w:sz w:val="32"/>
          <w:szCs w:val="32"/>
        </w:rPr>
      </w:pPr>
    </w:p>
    <w:p w14:paraId="2FADA0E8" w14:textId="77777777" w:rsidR="0022679C" w:rsidRDefault="0022679C" w:rsidP="004A2999">
      <w:pPr>
        <w:pStyle w:val="Default"/>
        <w:ind w:left="1134" w:right="859"/>
        <w:contextualSpacing/>
        <w:jc w:val="center"/>
        <w:rPr>
          <w:rFonts w:asciiTheme="majorHAnsi" w:hAnsiTheme="majorHAnsi" w:cstheme="majorHAnsi"/>
          <w:color w:val="auto"/>
          <w:sz w:val="32"/>
          <w:szCs w:val="32"/>
        </w:rPr>
      </w:pPr>
    </w:p>
    <w:p w14:paraId="38FEE587" w14:textId="77777777" w:rsidR="0022679C" w:rsidRDefault="0022679C" w:rsidP="004A2999">
      <w:pPr>
        <w:pStyle w:val="Default"/>
        <w:ind w:left="1134" w:right="859"/>
        <w:contextualSpacing/>
        <w:jc w:val="center"/>
        <w:rPr>
          <w:rFonts w:asciiTheme="majorHAnsi" w:hAnsiTheme="majorHAnsi" w:cstheme="majorHAnsi"/>
          <w:color w:val="auto"/>
          <w:sz w:val="32"/>
          <w:szCs w:val="32"/>
        </w:rPr>
      </w:pPr>
    </w:p>
    <w:p w14:paraId="27D6D25D" w14:textId="77777777" w:rsidR="0022679C" w:rsidRDefault="0022679C" w:rsidP="004A2999">
      <w:pPr>
        <w:pStyle w:val="Default"/>
        <w:ind w:left="1134" w:right="859"/>
        <w:contextualSpacing/>
        <w:jc w:val="center"/>
        <w:rPr>
          <w:rFonts w:asciiTheme="majorHAnsi" w:hAnsiTheme="majorHAnsi" w:cstheme="majorHAnsi"/>
          <w:color w:val="auto"/>
          <w:sz w:val="32"/>
          <w:szCs w:val="32"/>
        </w:rPr>
      </w:pPr>
    </w:p>
    <w:p w14:paraId="7A1A8D6F" w14:textId="77777777" w:rsidR="0022679C" w:rsidRPr="0022679C" w:rsidRDefault="0022679C" w:rsidP="004A2999">
      <w:pPr>
        <w:pStyle w:val="Default"/>
        <w:ind w:left="1134" w:right="859"/>
        <w:contextualSpacing/>
        <w:jc w:val="center"/>
        <w:rPr>
          <w:rFonts w:asciiTheme="majorHAnsi" w:hAnsiTheme="majorHAnsi" w:cstheme="majorHAnsi"/>
          <w:color w:val="auto"/>
          <w:sz w:val="32"/>
          <w:szCs w:val="32"/>
        </w:rPr>
      </w:pPr>
    </w:p>
    <w:p w14:paraId="09D50543" w14:textId="77777777" w:rsidR="0022679C" w:rsidRDefault="0022679C" w:rsidP="004A2999">
      <w:pPr>
        <w:pStyle w:val="Default"/>
        <w:pBdr>
          <w:top w:val="single" w:sz="4" w:space="1" w:color="auto"/>
          <w:left w:val="single" w:sz="4" w:space="4" w:color="auto"/>
          <w:bottom w:val="single" w:sz="4" w:space="1" w:color="auto"/>
          <w:right w:val="single" w:sz="4" w:space="4" w:color="auto"/>
        </w:pBdr>
        <w:shd w:val="clear" w:color="auto" w:fill="C6D9F1" w:themeFill="text2" w:themeFillTint="33"/>
        <w:ind w:left="1134" w:right="859"/>
        <w:contextualSpacing/>
        <w:jc w:val="center"/>
        <w:rPr>
          <w:rFonts w:asciiTheme="majorHAnsi" w:hAnsiTheme="majorHAnsi" w:cstheme="majorHAnsi"/>
          <w:b/>
          <w:bCs/>
          <w:color w:val="auto"/>
        </w:rPr>
      </w:pPr>
    </w:p>
    <w:p w14:paraId="45B01794" w14:textId="6765C928" w:rsidR="0022679C" w:rsidRPr="0022679C" w:rsidRDefault="0022679C" w:rsidP="004A2999">
      <w:pPr>
        <w:pStyle w:val="Default"/>
        <w:pBdr>
          <w:top w:val="single" w:sz="4" w:space="1" w:color="auto"/>
          <w:left w:val="single" w:sz="4" w:space="4" w:color="auto"/>
          <w:bottom w:val="single" w:sz="4" w:space="1" w:color="auto"/>
          <w:right w:val="single" w:sz="4" w:space="4" w:color="auto"/>
        </w:pBdr>
        <w:shd w:val="clear" w:color="auto" w:fill="C6D9F1" w:themeFill="text2" w:themeFillTint="33"/>
        <w:ind w:left="1134" w:right="859"/>
        <w:contextualSpacing/>
        <w:jc w:val="center"/>
        <w:rPr>
          <w:rFonts w:asciiTheme="majorHAnsi" w:hAnsiTheme="majorHAnsi" w:cstheme="majorHAnsi"/>
          <w:color w:val="auto"/>
        </w:rPr>
      </w:pPr>
      <w:r w:rsidRPr="0022679C">
        <w:rPr>
          <w:rFonts w:asciiTheme="majorHAnsi" w:hAnsiTheme="majorHAnsi" w:cstheme="majorHAnsi"/>
          <w:color w:val="auto"/>
        </w:rPr>
        <w:t>PIANO INTEGRATO DI ATTIVITA’ E ORGANIZZAZIONE (PIAO) 202</w:t>
      </w:r>
      <w:r w:rsidR="009D3C0C">
        <w:rPr>
          <w:rFonts w:asciiTheme="majorHAnsi" w:hAnsiTheme="majorHAnsi" w:cstheme="majorHAnsi"/>
          <w:color w:val="auto"/>
        </w:rPr>
        <w:t>5</w:t>
      </w:r>
      <w:r w:rsidRPr="0022679C">
        <w:rPr>
          <w:rFonts w:asciiTheme="majorHAnsi" w:hAnsiTheme="majorHAnsi" w:cstheme="majorHAnsi"/>
          <w:color w:val="auto"/>
        </w:rPr>
        <w:t>/202</w:t>
      </w:r>
      <w:r w:rsidR="009D3C0C">
        <w:rPr>
          <w:rFonts w:asciiTheme="majorHAnsi" w:hAnsiTheme="majorHAnsi" w:cstheme="majorHAnsi"/>
          <w:color w:val="auto"/>
        </w:rPr>
        <w:t>7</w:t>
      </w:r>
    </w:p>
    <w:p w14:paraId="0F855B44" w14:textId="6546B8F1" w:rsidR="0022679C" w:rsidRPr="0022679C" w:rsidRDefault="0022679C" w:rsidP="004A2999">
      <w:pPr>
        <w:pStyle w:val="Default"/>
        <w:pBdr>
          <w:top w:val="single" w:sz="4" w:space="1" w:color="auto"/>
          <w:left w:val="single" w:sz="4" w:space="4" w:color="auto"/>
          <w:bottom w:val="single" w:sz="4" w:space="1" w:color="auto"/>
          <w:right w:val="single" w:sz="4" w:space="4" w:color="auto"/>
        </w:pBdr>
        <w:shd w:val="clear" w:color="auto" w:fill="C6D9F1" w:themeFill="text2" w:themeFillTint="33"/>
        <w:ind w:left="1134" w:right="859"/>
        <w:contextualSpacing/>
        <w:jc w:val="center"/>
        <w:rPr>
          <w:rFonts w:asciiTheme="majorHAnsi" w:hAnsiTheme="majorHAnsi" w:cstheme="majorHAnsi"/>
          <w:color w:val="auto"/>
        </w:rPr>
      </w:pPr>
      <w:r>
        <w:rPr>
          <w:rFonts w:asciiTheme="majorHAnsi" w:hAnsiTheme="majorHAnsi" w:cstheme="majorHAnsi"/>
          <w:b/>
          <w:bCs/>
          <w:color w:val="auto"/>
        </w:rPr>
        <w:t>SOTTO</w:t>
      </w:r>
      <w:r w:rsidRPr="0022679C">
        <w:rPr>
          <w:rFonts w:asciiTheme="majorHAnsi" w:hAnsiTheme="majorHAnsi" w:cstheme="majorHAnsi"/>
          <w:b/>
          <w:bCs/>
          <w:color w:val="auto"/>
        </w:rPr>
        <w:t>SEZIONE “RISCHI CORRUTTIVI E TRASPARENZA”</w:t>
      </w:r>
    </w:p>
    <w:p w14:paraId="0A0AF2A8" w14:textId="6080A04C" w:rsidR="0022679C" w:rsidRPr="0022679C" w:rsidRDefault="0022679C" w:rsidP="004A2999">
      <w:pPr>
        <w:pStyle w:val="Default"/>
        <w:pBdr>
          <w:top w:val="single" w:sz="4" w:space="1" w:color="auto"/>
          <w:left w:val="single" w:sz="4" w:space="4" w:color="auto"/>
          <w:bottom w:val="single" w:sz="4" w:space="1" w:color="auto"/>
          <w:right w:val="single" w:sz="4" w:space="4" w:color="auto"/>
        </w:pBdr>
        <w:shd w:val="clear" w:color="auto" w:fill="C6D9F1" w:themeFill="text2" w:themeFillTint="33"/>
        <w:ind w:left="1134" w:right="859"/>
        <w:contextualSpacing/>
        <w:jc w:val="center"/>
        <w:rPr>
          <w:rFonts w:asciiTheme="majorHAnsi" w:hAnsiTheme="majorHAnsi" w:cstheme="majorHAnsi"/>
          <w:i/>
          <w:iCs/>
          <w:color w:val="auto"/>
          <w:sz w:val="18"/>
          <w:szCs w:val="18"/>
        </w:rPr>
      </w:pPr>
      <w:r w:rsidRPr="0022679C">
        <w:rPr>
          <w:rFonts w:asciiTheme="majorHAnsi" w:hAnsiTheme="majorHAnsi" w:cstheme="majorHAnsi"/>
          <w:i/>
          <w:iCs/>
          <w:color w:val="auto"/>
          <w:sz w:val="18"/>
          <w:szCs w:val="18"/>
        </w:rPr>
        <w:t>ART. 6 COMMI DA 1 A 4 DEL DECRETO LEGGE N. 80 DEL 09.06.2021, CONVERTITO CON MODIFICAZIONI NELLA LEGGE N. 113 DEL 06.08.2021 E S.M.I.</w:t>
      </w:r>
    </w:p>
    <w:p w14:paraId="4D70DD2A" w14:textId="77777777" w:rsidR="0022679C" w:rsidRDefault="0022679C" w:rsidP="004A2999">
      <w:pPr>
        <w:pStyle w:val="Default"/>
        <w:pBdr>
          <w:top w:val="single" w:sz="4" w:space="1" w:color="auto"/>
          <w:left w:val="single" w:sz="4" w:space="4" w:color="auto"/>
          <w:bottom w:val="single" w:sz="4" w:space="1" w:color="auto"/>
          <w:right w:val="single" w:sz="4" w:space="4" w:color="auto"/>
        </w:pBdr>
        <w:shd w:val="clear" w:color="auto" w:fill="C6D9F1" w:themeFill="text2" w:themeFillTint="33"/>
        <w:ind w:left="1134" w:right="859"/>
        <w:contextualSpacing/>
        <w:jc w:val="center"/>
        <w:rPr>
          <w:rFonts w:asciiTheme="majorHAnsi" w:hAnsiTheme="majorHAnsi" w:cstheme="majorHAnsi"/>
          <w:i/>
          <w:iCs/>
          <w:color w:val="auto"/>
        </w:rPr>
      </w:pPr>
    </w:p>
    <w:p w14:paraId="0B613BA5"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424B4C3C"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069558C6"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56F2182E"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47828E91"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13505802"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7FC3B598"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1E103312"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3E5F7C8A"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69FD3F80"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6A935441"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6DC3E7E9"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3FA18F1E"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6F5755D3"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666C9172"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28705324"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3C04AD84"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72D5207C" w14:textId="77777777" w:rsidR="0022679C" w:rsidRDefault="0022679C" w:rsidP="004A2999">
      <w:pPr>
        <w:pStyle w:val="Default"/>
        <w:ind w:left="1134" w:right="859"/>
        <w:contextualSpacing/>
        <w:jc w:val="center"/>
        <w:rPr>
          <w:rFonts w:asciiTheme="majorHAnsi" w:hAnsiTheme="majorHAnsi" w:cstheme="majorHAnsi"/>
          <w:i/>
          <w:iCs/>
          <w:color w:val="auto"/>
        </w:rPr>
      </w:pPr>
    </w:p>
    <w:p w14:paraId="59503FC8" w14:textId="77777777" w:rsidR="0022679C" w:rsidRPr="0022679C" w:rsidRDefault="0022679C" w:rsidP="004A2999">
      <w:pPr>
        <w:pStyle w:val="Default"/>
        <w:ind w:left="1134" w:right="859"/>
        <w:contextualSpacing/>
        <w:jc w:val="center"/>
        <w:rPr>
          <w:rFonts w:asciiTheme="majorHAnsi" w:hAnsiTheme="majorHAnsi" w:cstheme="majorHAnsi"/>
          <w:color w:val="auto"/>
        </w:rPr>
      </w:pPr>
    </w:p>
    <w:p w14:paraId="5E999331" w14:textId="210244FC" w:rsidR="0022679C" w:rsidRDefault="0022679C" w:rsidP="004A2999">
      <w:pPr>
        <w:widowControl w:val="0"/>
        <w:pBdr>
          <w:top w:val="nil"/>
          <w:left w:val="nil"/>
          <w:bottom w:val="nil"/>
          <w:right w:val="nil"/>
          <w:between w:val="nil"/>
        </w:pBdr>
        <w:spacing w:line="240" w:lineRule="auto"/>
        <w:ind w:left="1134" w:right="859"/>
        <w:contextualSpacing/>
        <w:jc w:val="center"/>
        <w:rPr>
          <w:rFonts w:asciiTheme="majorHAnsi" w:hAnsiTheme="majorHAnsi" w:cstheme="majorHAnsi"/>
          <w:i/>
          <w:iCs/>
          <w:sz w:val="24"/>
          <w:szCs w:val="24"/>
        </w:rPr>
      </w:pPr>
      <w:r w:rsidRPr="0022679C">
        <w:rPr>
          <w:rFonts w:asciiTheme="majorHAnsi" w:hAnsiTheme="majorHAnsi" w:cstheme="majorHAnsi"/>
          <w:i/>
          <w:iCs/>
          <w:sz w:val="24"/>
          <w:szCs w:val="24"/>
        </w:rPr>
        <w:t xml:space="preserve">ALLEGATO ALLA DELIBERA DI GIUNTA N. </w:t>
      </w:r>
      <w:r w:rsidR="00A6469A">
        <w:rPr>
          <w:rFonts w:asciiTheme="majorHAnsi" w:hAnsiTheme="majorHAnsi" w:cstheme="majorHAnsi"/>
          <w:i/>
          <w:iCs/>
          <w:sz w:val="24"/>
          <w:szCs w:val="24"/>
        </w:rPr>
        <w:t>11</w:t>
      </w:r>
      <w:r w:rsidRPr="0022679C">
        <w:rPr>
          <w:rFonts w:asciiTheme="majorHAnsi" w:hAnsiTheme="majorHAnsi" w:cstheme="majorHAnsi"/>
          <w:i/>
          <w:iCs/>
          <w:sz w:val="24"/>
          <w:szCs w:val="24"/>
        </w:rPr>
        <w:t xml:space="preserve"> DEL </w:t>
      </w:r>
      <w:r w:rsidR="00A6469A">
        <w:rPr>
          <w:rFonts w:asciiTheme="majorHAnsi" w:hAnsiTheme="majorHAnsi" w:cstheme="majorHAnsi"/>
          <w:i/>
          <w:iCs/>
          <w:sz w:val="24"/>
          <w:szCs w:val="24"/>
        </w:rPr>
        <w:t>3</w:t>
      </w:r>
      <w:r w:rsidR="00100F14">
        <w:rPr>
          <w:rFonts w:asciiTheme="majorHAnsi" w:hAnsiTheme="majorHAnsi" w:cstheme="majorHAnsi"/>
          <w:i/>
          <w:iCs/>
          <w:sz w:val="24"/>
          <w:szCs w:val="24"/>
        </w:rPr>
        <w:t>1</w:t>
      </w:r>
      <w:r w:rsidR="00A6469A">
        <w:rPr>
          <w:rFonts w:asciiTheme="majorHAnsi" w:hAnsiTheme="majorHAnsi" w:cstheme="majorHAnsi"/>
          <w:i/>
          <w:iCs/>
          <w:sz w:val="24"/>
          <w:szCs w:val="24"/>
        </w:rPr>
        <w:t>/01/2024</w:t>
      </w:r>
    </w:p>
    <w:p w14:paraId="1D89D423" w14:textId="77777777" w:rsidR="0022679C" w:rsidRDefault="0022679C" w:rsidP="004A2999">
      <w:pPr>
        <w:spacing w:line="240" w:lineRule="auto"/>
        <w:contextualSpacing/>
        <w:rPr>
          <w:rFonts w:asciiTheme="majorHAnsi" w:hAnsiTheme="majorHAnsi" w:cstheme="majorHAnsi"/>
          <w:i/>
          <w:iCs/>
          <w:sz w:val="24"/>
          <w:szCs w:val="24"/>
        </w:rPr>
      </w:pPr>
      <w:r>
        <w:rPr>
          <w:rFonts w:asciiTheme="majorHAnsi" w:hAnsiTheme="majorHAnsi" w:cstheme="majorHAnsi"/>
          <w:i/>
          <w:iCs/>
          <w:sz w:val="24"/>
          <w:szCs w:val="24"/>
        </w:rPr>
        <w:br w:type="page"/>
      </w:r>
    </w:p>
    <w:p w14:paraId="1394B288" w14:textId="44B0AFF1" w:rsidR="00DC24FB" w:rsidRPr="0022679C" w:rsidRDefault="00A6469A" w:rsidP="004A2999">
      <w:pPr>
        <w:widowControl w:val="0"/>
        <w:pBdr>
          <w:top w:val="nil"/>
          <w:left w:val="nil"/>
          <w:bottom w:val="nil"/>
          <w:right w:val="nil"/>
          <w:between w:val="nil"/>
        </w:pBdr>
        <w:shd w:val="clear" w:color="auto" w:fill="C6D9F1" w:themeFill="text2" w:themeFillTint="33"/>
        <w:spacing w:line="240" w:lineRule="auto"/>
        <w:ind w:left="1133" w:right="873"/>
        <w:contextualSpacing/>
        <w:jc w:val="center"/>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lastRenderedPageBreak/>
        <w:t xml:space="preserve">IL FENOMENO </w:t>
      </w:r>
    </w:p>
    <w:p w14:paraId="4A91D729" w14:textId="499703C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corruzione viene definita come comportamento soggettivo improprio di un pubblico funzionario che, al fine di curare un interesse proprio o un interesse particolare di terzi, assuma (o concorra all’adozione di) una decisione pubblica, deviando, in cambio di un vantaggio (economico o meno), dai propri doveri d’ufficio, cioè dalla cura imparziale dell’interesse pubblico affidatogli. </w:t>
      </w:r>
    </w:p>
    <w:p w14:paraId="57F80BDF" w14:textId="4178D052"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Questa definizione, che è tipica del contrasto penalistico ai fenomeni corruttivi, volta ad evitare comportamenti soggettivi di funzionari pubblici (intesi in senso molto ampio, fino a ricomprendere nella disciplina di contrasto anche la persona incaricata di pubblico servizio), delimita il fenomeno corruttivo in senso proprio.  </w:t>
      </w:r>
    </w:p>
    <w:p w14:paraId="61EC4AE4" w14:textId="52DCAA43"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Nell’ordinamento penale italiano la corruzione non coincide con i soli reati più strettamente definiti come corruttivi, ma comprende anche reati relativi ad atti che la legge definisce come “condotte di natura corruttiva” (al riguardo, si rinvia alla delibera ANAC n. 215 del 2019).</w:t>
      </w:r>
    </w:p>
    <w:p w14:paraId="410207B6" w14:textId="2778BEF4"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 comportamenti di tipo corruttivo di pubblici funzionari possono verificarsi in ambiti diversi e con riferimento a funzioni diverse. Si può avere pertanto una corruzione relativa all’assunzione di decisioni politico-legislative, una corruzione relativa all’assunzione di atti giudiziari, una corruzione relativa all’assunzione di atti amministrativi. </w:t>
      </w:r>
    </w:p>
    <w:p w14:paraId="05EEA6C4"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Ciò non muta il carattere unitario del fenomeno corruttivo nella propria essenza. In questo senso espressioni come “corruzione politica” o “corruzione amministrativa” valgono più a precisare l’ambito nel quale il fenomeno si verifica che non a individuare una diversa specie di corruzione. </w:t>
      </w:r>
    </w:p>
    <w:p w14:paraId="2F8051EB" w14:textId="5E425C66"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Le Convenzioni internazionali promuovono, presso gli Stati che le firmano e ratificano, l’adozione, accanto a misure di rafforzamento della efficacia della repressione penale della corruzione, di misure di carattere preventivo in rapporto ai contenuti e ai procedimenti di ciascuna delle decisioni pubbliche più rilevanti assunte e del rischio del verificarsi dei fenomeni corruttivi, così come prima definiti.</w:t>
      </w:r>
    </w:p>
    <w:p w14:paraId="68D37E5C"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Per essere efficace, la prevenzione della corruzione, deve consistere in misure di ampio spettro, che riducano, all’interno delle Amministrazioni, il rischio che i pubblici funzionari adottino atti di natura corruttiva (in senso proprio). Esse, pertanto, si sostanziano tanto in misure di carattere organizzativo, oggettivo, quanto in misure di carattere comportamentale, soggettivo.</w:t>
      </w:r>
    </w:p>
    <w:p w14:paraId="14A36F09" w14:textId="4F045FF3"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Le misure di tipo oggettivo sono volte a prevenire il rischio incidendo sull’organizzazione e sul funzionamento delle Pubbliche Amministrazioni. Tali misure preventive (tra cui, rotazione del personale, controlli, trasparenza, formazione) prescindono da considerazioni soggettive, quali la propensione dei funzionari (intesi in senso ampio come dipendenti pubblici e dipendenti a questi assimilabili) a compiere atti di natura corruttiva e si preoccupano di precostituire condizioni organizzative e di lavoro che rendano difficili comportamenti corruttivi. </w:t>
      </w:r>
    </w:p>
    <w:p w14:paraId="5CE7570D"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Le misure di carattere soggettivo concorrono alla prevenzione della corruzione proponendosi di  evitare una più vasta serie di comportamenti devianti, quali il compimento dei reati di cui al Capo I del Titolo II del libro secondo del Codice Penale (“reati contro la Pubblica Amministrazione”) diversi da  quelli aventi natura corruttiva, il compimento di altri reati di rilevante allarme sociale, l’adozione di comportamenti contrari a quelli propri di un funzionario pubblico previsti da norme amministrativo disciplinari anziché penali, fino all’assunzione di decisioni di cattiva amministrazione, cioè di decisioni contrarie all’interesse pubblico perseguito dall’Amministrazione, in primo luogo sotto il profilo dell’imparzialità, ma anche sotto il profilo del buon andamento (funzionalità ed economicità).  </w:t>
      </w:r>
    </w:p>
    <w:p w14:paraId="32038310"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Con la Legge 190/2012 è stata delineata una nozione ampia di “prevenzione della corruzione”, che comprende una vasta serie di misure con cui si creano le condizioni per rendere sempre più </w:t>
      </w:r>
      <w:r w:rsidRPr="0022679C">
        <w:rPr>
          <w:rFonts w:asciiTheme="majorHAnsi" w:eastAsia="Palatino Linotype" w:hAnsiTheme="majorHAnsi" w:cstheme="majorHAnsi"/>
          <w:sz w:val="24"/>
          <w:szCs w:val="24"/>
        </w:rPr>
        <w:lastRenderedPageBreak/>
        <w:t xml:space="preserve">difficile l’adozione di comportamenti di corruzione nelle Amministrazioni pubbliche e nei soggetti, anche privati, considerati dalla Legge 190/2012. </w:t>
      </w:r>
    </w:p>
    <w:p w14:paraId="4BC7C185"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L’ANAC ha precisato che naturalmente con la Legge 190/2012 non si  modifica il contenuto tipico della nozione di corruzione, ma per la prima volta in modo organico si  introducono e, laddove già esistenti, si mettono a sistema misure che incidono laddove si configurano condotte, situazioni, condizioni, organizzative ed individuali - riconducibili anche a forme di cattiva amministrazione - che potrebbero essere prodromiche ovvero costituire un ambiente favorevole alla commissione di fatti corruttivi in senso proprio. </w:t>
      </w:r>
      <w:r w:rsidRPr="0022679C">
        <w:rPr>
          <w:rFonts w:asciiTheme="majorHAnsi" w:hAnsiTheme="majorHAnsi" w:cstheme="majorHAnsi"/>
          <w:sz w:val="24"/>
          <w:szCs w:val="24"/>
        </w:rPr>
        <w:br w:type="page"/>
      </w:r>
    </w:p>
    <w:p w14:paraId="4957FACF" w14:textId="77777777" w:rsidR="00DC24FB" w:rsidRPr="0022679C" w:rsidRDefault="00A6469A" w:rsidP="004A2999">
      <w:pPr>
        <w:widowControl w:val="0"/>
        <w:shd w:val="clear" w:color="auto" w:fill="C6D9F1" w:themeFill="text2" w:themeFillTint="33"/>
        <w:spacing w:line="240" w:lineRule="auto"/>
        <w:ind w:left="1133" w:right="873"/>
        <w:contextualSpacing/>
        <w:jc w:val="center"/>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lastRenderedPageBreak/>
        <w:t>IL PIANO</w:t>
      </w:r>
    </w:p>
    <w:p w14:paraId="4F3DBBD4" w14:textId="543ECEF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 strategia nazionale di prevenzione della corruzione, secondo la legge 190/2012 e s.m.i., si attua mediante il Piano nazionale anticorruzione (PNA) adottato dall’Autorità Nazionale</w:t>
      </w:r>
      <w:r w:rsidR="0022679C">
        <w:rPr>
          <w:rFonts w:asciiTheme="majorHAnsi" w:eastAsia="Palatino Linotype" w:hAnsiTheme="majorHAnsi" w:cstheme="majorHAnsi"/>
          <w:sz w:val="24"/>
          <w:szCs w:val="24"/>
        </w:rPr>
        <w:t xml:space="preserve"> </w:t>
      </w:r>
      <w:r w:rsidRPr="0022679C">
        <w:rPr>
          <w:rFonts w:asciiTheme="majorHAnsi" w:eastAsia="Palatino Linotype" w:hAnsiTheme="majorHAnsi" w:cstheme="majorHAnsi"/>
          <w:sz w:val="24"/>
          <w:szCs w:val="24"/>
        </w:rPr>
        <w:t xml:space="preserve">Anticorruzione (ANAC). </w:t>
      </w:r>
    </w:p>
    <w:p w14:paraId="0E5B8BAF" w14:textId="433DB7F6"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PNA individua i principali rischi di corruzione, i relativi rimedi e contiene l’indicazione degli obiettivi, dei tempi e delle modalità di adozione e attuazione delle misure di contrasto al fenomeno corruttivo. </w:t>
      </w:r>
    </w:p>
    <w:p w14:paraId="690A7FFB" w14:textId="42F1E083"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Tale documento fornisce le linee guida affinché le singole amministrazioni procedano alla predisposizione dei propri piani di prevenzione della corruzione e della trasparenza (PTPCT). </w:t>
      </w:r>
    </w:p>
    <w:p w14:paraId="52DC9DFE"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74A602FF" w14:textId="5A630E3F"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Per quanto riguarda gli Enti Locali il PTPCT viene presentato dal Responsabile della prevenzione della Corruzione e della Trasparenza all’organo politico, individuato nella Giunta Comunale, affinché provveda alla sua approvazione entro il 31 gennaio di ogni anno</w:t>
      </w:r>
      <w:r w:rsidR="0022679C">
        <w:rPr>
          <w:rFonts w:asciiTheme="majorHAnsi" w:eastAsia="Palatino Linotype" w:hAnsiTheme="majorHAnsi" w:cstheme="majorHAnsi"/>
          <w:sz w:val="24"/>
          <w:szCs w:val="24"/>
        </w:rPr>
        <w:t>.</w:t>
      </w:r>
    </w:p>
    <w:p w14:paraId="1FCDD5CB" w14:textId="3FEB6816"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Piano, una volta approvato, potrà comunque essere oggetto di modifiche e/o integrazioni laddove nel corso dell’anno si verifichino fatti corruttivi o ipotesi di disfunzioni amministrative significative ovvero variazioni sostanziali all’assetto organizzativo dell’ente. </w:t>
      </w:r>
    </w:p>
    <w:p w14:paraId="368F889D" w14:textId="4504E25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Con l’entrata in vigore del D.M. n. 132/2022 il PTPCT è confluito all’interno del Piano Integrato delle Attività e dell’Organizzazione (c.d. PIAO), di cui costituisce una sottosezione denominata “Rischi corruttivi e Trasparenza”. </w:t>
      </w:r>
    </w:p>
    <w:p w14:paraId="3B78CDE5"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Per tale ragione </w:t>
      </w:r>
      <w:r w:rsidRPr="0022679C">
        <w:rPr>
          <w:rFonts w:asciiTheme="majorHAnsi" w:eastAsia="Palatino Linotype" w:hAnsiTheme="majorHAnsi" w:cstheme="majorHAnsi"/>
          <w:b/>
          <w:bCs/>
          <w:sz w:val="24"/>
          <w:szCs w:val="24"/>
        </w:rPr>
        <w:t>il documento in questione, dai contenuti propri del PTPCT, confluirà nel PIAO con la denominazione “Sottosezione Rischi Corruttivi e Trasparenza”.</w:t>
      </w:r>
    </w:p>
    <w:p w14:paraId="247FA262"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Con specifico riferimento alle modalità di redazione di questa sottosezione, occorre altresì dare atto delle misure di semplificazione riconosciute da ANAC nei confronti degli Enti di piccole dimensioni.</w:t>
      </w:r>
    </w:p>
    <w:p w14:paraId="4F855B6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Si pensi, a titolo esemplificativo, all’Approfondimento n. I “Piccoli Comuni” della parte speciale del PNA 2016, di cui alla delibera del 3  agosto 2016, n. 831 “Determinazione di approvazione definitiva del Piano Nazionale Anticorruzione  2016” (§ 1.), e l’Approfondimento n. IV “Semplificazione per i Piccoli Comuni” della parte speciale  dell’Aggiornamento 2018 al PNA, di cui alla delibera del 21 novembre 2018 n. 1074 “Approvazione  definitiva dell’Aggiornamento 2018 al Piano Nazionale Anticorruzione” </w:t>
      </w:r>
    </w:p>
    <w:p w14:paraId="4A11258F"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0EDACB4D"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Inoltre, in base al PNA 2022 le amministrazioni e gli enti con meno di 50 dipendenti possono, dopo la prima  adozione, confermare per le successive due annualità, lo strumento programmatorio in vigore con  apposito atto dell’organo di indirizzo, a condizione però che nell’anno precedente non si siano  verificate evenienze che richiedono una revisione della programmazione (non siano emersi fatti corruttivi o ipotesi di disfunzioni amministrative significative; non siano state introdotte modifiche organizzative rilevanti; non siano stati modificati gli obiettivi strategici; non siano state modificate le altre sezioni del PIAO in modo tale da incidere sui contenuti della sezione anticorruzione e trasparenza. </w:t>
      </w:r>
    </w:p>
    <w:p w14:paraId="7AB5EF1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Rimane comunque fermo l’obbligo di adottare un nuovo strumento di programmazione ogni tre anni, come previsto dalla normativa. </w:t>
      </w:r>
    </w:p>
    <w:p w14:paraId="30A2F078" w14:textId="6531D44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Tutte le semplificazioni vigenti sono riassunte nelle tabelle dell’Allegato n. 4 del PNA 2022.</w:t>
      </w:r>
    </w:p>
    <w:p w14:paraId="75F009A0" w14:textId="2C23A94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Si dà inoltre atto che si è provveduto ad avviare con specifico </w:t>
      </w:r>
      <w:r w:rsidRPr="00A6469A">
        <w:rPr>
          <w:rFonts w:asciiTheme="majorHAnsi" w:eastAsia="Palatino Linotype" w:hAnsiTheme="majorHAnsi" w:cstheme="majorHAnsi"/>
          <w:sz w:val="24"/>
          <w:szCs w:val="24"/>
        </w:rPr>
        <w:t>avviso del 22/01/2024 pubblicato all’Albo Pretorio online dal 23/01/2024 al 23</w:t>
      </w:r>
      <w:r>
        <w:rPr>
          <w:rFonts w:asciiTheme="majorHAnsi" w:eastAsia="Palatino Linotype" w:hAnsiTheme="majorHAnsi" w:cstheme="majorHAnsi"/>
          <w:sz w:val="24"/>
          <w:szCs w:val="24"/>
        </w:rPr>
        <w:t>/01/2024,</w:t>
      </w:r>
      <w:r w:rsidRPr="0022679C">
        <w:rPr>
          <w:rFonts w:asciiTheme="majorHAnsi" w:eastAsia="Palatino Linotype" w:hAnsiTheme="majorHAnsi" w:cstheme="majorHAnsi"/>
          <w:sz w:val="24"/>
          <w:szCs w:val="24"/>
        </w:rPr>
        <w:t xml:space="preserve"> il processo di aggiornamento della presente sottosezione e non sono pervenute proposte, osservazioni e suggerimenti. </w:t>
      </w:r>
    </w:p>
    <w:p w14:paraId="14AE3DC2" w14:textId="19134FE3" w:rsidR="00DC24FB" w:rsidRDefault="00DC24FB" w:rsidP="004A2999">
      <w:pPr>
        <w:widowControl w:val="0"/>
        <w:pBdr>
          <w:top w:val="nil"/>
          <w:left w:val="nil"/>
          <w:bottom w:val="nil"/>
          <w:right w:val="nil"/>
          <w:between w:val="nil"/>
        </w:pBdr>
        <w:spacing w:line="240" w:lineRule="auto"/>
        <w:ind w:right="873"/>
        <w:contextualSpacing/>
        <w:jc w:val="both"/>
        <w:rPr>
          <w:rFonts w:asciiTheme="majorHAnsi" w:eastAsia="Palatino Linotype" w:hAnsiTheme="majorHAnsi" w:cstheme="majorHAnsi"/>
          <w:sz w:val="24"/>
          <w:szCs w:val="24"/>
        </w:rPr>
      </w:pPr>
    </w:p>
    <w:p w14:paraId="14EC87F1" w14:textId="77777777" w:rsidR="00A6469A" w:rsidRPr="0022679C" w:rsidRDefault="00A6469A" w:rsidP="004A2999">
      <w:pPr>
        <w:widowControl w:val="0"/>
        <w:pBdr>
          <w:top w:val="nil"/>
          <w:left w:val="nil"/>
          <w:bottom w:val="nil"/>
          <w:right w:val="nil"/>
          <w:between w:val="nil"/>
        </w:pBdr>
        <w:spacing w:line="240" w:lineRule="auto"/>
        <w:ind w:right="873"/>
        <w:contextualSpacing/>
        <w:jc w:val="both"/>
        <w:rPr>
          <w:rFonts w:asciiTheme="majorHAnsi" w:eastAsia="Palatino Linotype" w:hAnsiTheme="majorHAnsi" w:cstheme="majorHAnsi"/>
          <w:sz w:val="24"/>
          <w:szCs w:val="24"/>
        </w:rPr>
      </w:pPr>
    </w:p>
    <w:p w14:paraId="7B83EE0D"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lastRenderedPageBreak/>
        <w:t xml:space="preserve">In attuazione dell'art. 1 comma 9 della Legge n. 190/2012, il presente Piano viene elaborato con il precipuo intento di fornire un quadro della valutazione del diverso livello di esposizione al rischio di corruzione, e stabilire i più idonei interventi organizzativi (cd. Misure) atti a prevenire il medesimo rischio, nonché di creare un collegamento tra prevenzione della corruzione trasparenza-performance per una più ampia gestione del «rischio istituzionale», assumendo come riferimento non solo il Piano Nazionale Anticorruzione ma anche le criticità rilevate in sede di applicazione e di utilizzo del precedente PTPC. </w:t>
      </w:r>
    </w:p>
    <w:p w14:paraId="0F5059DE" w14:textId="2FF8C5BC"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Inoltre, per garantire l’efficacia del PTPC, è stato avviato il coordinamento tra il suddetto Piano e gli strumenti già vigenti per il controllo nell’Amministrazione, nonché di quelli individuati dal D.Lgs. n.  150 del 2009 e s.m.i. ossia: </w:t>
      </w:r>
    </w:p>
    <w:p w14:paraId="189457EB" w14:textId="5CB5618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il Piano e la Relazione sulla performance (art. 10 del D.Lgs. n. 150 del 2009). L’evoluzione del Piano della Performance e l’integrazione con il Piano Anticorruzione si è concretizzata grazie ad un esplicito collegamento tra gli obiettivi indicati in entrambi i Piani e una coerenza nella redazione degli stessi; </w:t>
      </w:r>
    </w:p>
    <w:p w14:paraId="0DFD83AD"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il Sistema di misurazione e valutazione della performance (art. 7 del D.Lgs. n.150 del 2009). </w:t>
      </w:r>
    </w:p>
    <w:p w14:paraId="51B14B41" w14:textId="4B03D47B"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presente Piano è coordinato anche con quanto previsto nel Codice di Comportamento, formando così un corpus organico di norme interne finalizzate alla prevenzione delle illegalità nell'azione amministrativa ed alla diffusione di una cultura improntata sull’etica della trasparenza amministrativa. </w:t>
      </w:r>
    </w:p>
    <w:p w14:paraId="19A0DA6D"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hAnsiTheme="majorHAnsi" w:cstheme="majorHAnsi"/>
          <w:sz w:val="24"/>
          <w:szCs w:val="24"/>
        </w:rPr>
        <w:br w:type="page"/>
      </w:r>
    </w:p>
    <w:p w14:paraId="5E44A69C" w14:textId="77777777" w:rsidR="00DC24FB" w:rsidRPr="0022679C" w:rsidRDefault="00A6469A" w:rsidP="004A2999">
      <w:pPr>
        <w:widowControl w:val="0"/>
        <w:pBdr>
          <w:top w:val="nil"/>
          <w:left w:val="nil"/>
          <w:bottom w:val="nil"/>
          <w:right w:val="nil"/>
          <w:between w:val="nil"/>
        </w:pBdr>
        <w:shd w:val="clear" w:color="auto" w:fill="C6D9F1" w:themeFill="text2" w:themeFillTint="33"/>
        <w:spacing w:line="240" w:lineRule="auto"/>
        <w:ind w:left="1133" w:right="873"/>
        <w:contextualSpacing/>
        <w:jc w:val="center"/>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lastRenderedPageBreak/>
        <w:t xml:space="preserve">RIFERIMENTI NORMATIVI </w:t>
      </w:r>
    </w:p>
    <w:p w14:paraId="0AB8A5F6" w14:textId="1D4C2156"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Venendo all’inquadramento normativo generale e di contesto, si rammenta che l’Ente adotta la sottosezione “Rischi corruttivi e Trasparenza” del Piano Integrato delle Attività e</w:t>
      </w:r>
      <w:r w:rsidR="0022679C">
        <w:rPr>
          <w:rFonts w:asciiTheme="majorHAnsi" w:eastAsia="Palatino Linotype" w:hAnsiTheme="majorHAnsi" w:cstheme="majorHAnsi"/>
          <w:sz w:val="24"/>
          <w:szCs w:val="24"/>
        </w:rPr>
        <w:t xml:space="preserve"> </w:t>
      </w:r>
      <w:r w:rsidRPr="0022679C">
        <w:rPr>
          <w:rFonts w:asciiTheme="majorHAnsi" w:eastAsia="Palatino Linotype" w:hAnsiTheme="majorHAnsi" w:cstheme="majorHAnsi"/>
          <w:sz w:val="24"/>
          <w:szCs w:val="24"/>
        </w:rPr>
        <w:t xml:space="preserve">dell’Organizzazione in attuazione delle seguenti disposizioni di seguito richiamate: </w:t>
      </w:r>
    </w:p>
    <w:p w14:paraId="68C3886F" w14:textId="77777777"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legge 6 novembre 2012, n. 190 “Disposizioni per la prevenzione e la repressione della  corruzione e dell’illegalità nella pubblica amministrazione” e s.m.i., che ha introdotto una serie di  strumenti per la prevenzione e la repressione del fenomeno corruttivo, imponendo a livello  periferico all’organo di indirizzo politico (Giunta per enti locali) l’adozione e l’aggiornamento  del Piano triennale di prevenzione della corruzione, su proposta del responsabile  anticorruzione, ogni anno entro il 31 gennaio;</w:t>
      </w:r>
    </w:p>
    <w:p w14:paraId="305601C3" w14:textId="0CA7A5A1"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Intesa in Conferenza Unificata tra Governo ed Enti Locali, attuativa della L.190/12, articolo 1, commi 60 e 61, del 24 luglio 2013;</w:t>
      </w:r>
    </w:p>
    <w:p w14:paraId="6E8E5DD8" w14:textId="3F7B3C36"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Piano Nazionale Anticorruzione – PNA - predisposto dal Dipartimento della Funzione Pubblica, ai sensi della legge 6 novembre 2012, n. 190, e approvato con delibera n.72 dell’11 settembre 2013 dalla CiVIT (ora A.N.AC. Autorità Nazionale Anticorruzione);</w:t>
      </w:r>
    </w:p>
    <w:p w14:paraId="66B316A9" w14:textId="573319DF"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d.l. 24 giugno 2014, n. 90 convertito con modificazioni dalla L. 11 agosto 2014, n.114 che ha previsto, tra l’altro, che le funzioni del Dipartimento della funzione pubblica della Presidenzadel Consiglio dei Ministri in materia di trasparenza e di prevenzione della corruzione, di cui  all’art. 1, cc. 4, 5 e 8 della legge 6.11.2012 n. 190, sono trasferite all’Autorità Nazionale Anticorruzione (ANAC);</w:t>
      </w:r>
    </w:p>
    <w:p w14:paraId="7F794082" w14:textId="52DE2FFF"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il Piano Nazionale Anticorruzione 2019-2021 approvato dall’Autorità NazionaleAnticorruzione (ANAC) con deliberazione n.1064 del 13.11.2019;</w:t>
      </w:r>
    </w:p>
    <w:p w14:paraId="69ACC9BD" w14:textId="305D153B"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Piano Nazionale Anticorruzione 2022 approvato dall’Autorità Nazionale Anticorruzione (ANAC) con deliberazione n. 7 del 17.01.2023; </w:t>
      </w:r>
    </w:p>
    <w:p w14:paraId="24C44415" w14:textId="05932797"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i vari approfondimenti di parti speciali per le singole amministrazioni e per i settori specifici che mantengono ancora oggi la loro validità (richiamati espressamente dal Piano Nazionale Anticorruzione 2019- 2021 - deliberazione n. 1064 del 13.11.2019);</w:t>
      </w:r>
    </w:p>
    <w:p w14:paraId="1874AD1A" w14:textId="7962803A"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D.M. 30.06.2022 n. 132 ad oggetto “Regolamento recante definizione del contenuto del Piano integrato di attività e organizzazione”;</w:t>
      </w:r>
    </w:p>
    <w:p w14:paraId="4F217F42" w14:textId="11587B46" w:rsidR="00DC24FB" w:rsidRPr="0022679C" w:rsidRDefault="00A6469A" w:rsidP="004A2999">
      <w:pPr>
        <w:widowControl w:val="0"/>
        <w:numPr>
          <w:ilvl w:val="0"/>
          <w:numId w:val="1"/>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i comunicat</w:t>
      </w:r>
      <w:r w:rsidR="0022679C">
        <w:rPr>
          <w:rFonts w:asciiTheme="majorHAnsi" w:eastAsia="Palatino Linotype" w:hAnsiTheme="majorHAnsi" w:cstheme="majorHAnsi"/>
          <w:sz w:val="24"/>
          <w:szCs w:val="24"/>
        </w:rPr>
        <w:t>I</w:t>
      </w:r>
      <w:r w:rsidRPr="0022679C">
        <w:rPr>
          <w:rFonts w:asciiTheme="majorHAnsi" w:eastAsia="Palatino Linotype" w:hAnsiTheme="majorHAnsi" w:cstheme="majorHAnsi"/>
          <w:sz w:val="24"/>
          <w:szCs w:val="24"/>
        </w:rPr>
        <w:t xml:space="preserve"> del Presidente dell’ANAC</w:t>
      </w:r>
      <w:r w:rsidR="0022679C">
        <w:rPr>
          <w:rFonts w:asciiTheme="majorHAnsi" w:eastAsia="Palatino Linotype" w:hAnsiTheme="majorHAnsi" w:cstheme="majorHAnsi"/>
          <w:sz w:val="24"/>
          <w:szCs w:val="24"/>
        </w:rPr>
        <w:t>.</w:t>
      </w:r>
    </w:p>
    <w:p w14:paraId="531BE563"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703BDBB5" w14:textId="3B69A265"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Con la presente sottosezione del PIAO il Comune definisce la propria strategia di contrasto e di prevenzione della corruzione in attuazione della legge 190/2012 e in linea con le indicazioni del PNA 2022, approvato dall’Autorità Nazionale Anticorruzione (ANAC) con deliberazione n. 7 del 17.01.2023.  </w:t>
      </w:r>
    </w:p>
    <w:p w14:paraId="4368994D"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highlight w:val="yellow"/>
        </w:rPr>
      </w:pPr>
    </w:p>
    <w:p w14:paraId="1ECE0434" w14:textId="61A65010"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PNA è un atto di indirizzo generale rivolto a tutte le Amministrazioni, contenenti specifiche indicazioni, che impegnano le Amministrazioni ad effettuare l’analisi della realtà amministrativa e organizzativa, nella quale esercitano le funzioni pubbliche e le attività di pubblico interesse. </w:t>
      </w:r>
      <w:r w:rsidR="0022679C">
        <w:rPr>
          <w:rFonts w:asciiTheme="majorHAnsi" w:eastAsia="Palatino Linotype" w:hAnsiTheme="majorHAnsi" w:cstheme="majorHAnsi"/>
          <w:sz w:val="24"/>
          <w:szCs w:val="24"/>
        </w:rPr>
        <w:t xml:space="preserve">È </w:t>
      </w:r>
      <w:r w:rsidRPr="0022679C">
        <w:rPr>
          <w:rFonts w:asciiTheme="majorHAnsi" w:eastAsia="Palatino Linotype" w:hAnsiTheme="majorHAnsi" w:cstheme="majorHAnsi"/>
          <w:sz w:val="24"/>
          <w:szCs w:val="24"/>
        </w:rPr>
        <w:t xml:space="preserve"> una guida, che propone soluzioni che non devono essere identiche e “preconfezionate” per tutte le Amministrazioni. L’individuazione delle misure di prevenzione della corruzione alla base del Piano deve essere effettuata dalle singole Amministrazioni, poiché solo esse sono in grado di effettuare un’analisi del contesto interno ed esterno nel quale si trovano ad operare, e in quanto l’adozione di misure identiche calate in realtà amministrative differenti comprometterebbe l’efficacia delle stesse, rendendo sterile la loro applicazione. Per questo c’è uno specifico divieto di legge di affidare a soggetti esterni la redazione del Piano. </w:t>
      </w:r>
    </w:p>
    <w:p w14:paraId="5B5D60EB" w14:textId="77777777" w:rsidR="004A2999" w:rsidRPr="0022679C"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60840193" w14:textId="77777777" w:rsidR="00DC24FB" w:rsidRPr="0022679C" w:rsidRDefault="00A6469A" w:rsidP="004A2999">
      <w:pPr>
        <w:widowControl w:val="0"/>
        <w:pBdr>
          <w:top w:val="nil"/>
          <w:left w:val="nil"/>
          <w:bottom w:val="nil"/>
          <w:right w:val="nil"/>
          <w:between w:val="nil"/>
        </w:pBdr>
        <w:shd w:val="clear" w:color="auto" w:fill="C6D9F1" w:themeFill="text2" w:themeFillTint="33"/>
        <w:spacing w:line="240" w:lineRule="auto"/>
        <w:ind w:left="1133" w:right="873"/>
        <w:contextualSpacing/>
        <w:jc w:val="center"/>
        <w:rPr>
          <w:rFonts w:asciiTheme="majorHAnsi" w:eastAsia="Palatino Linotype" w:hAnsiTheme="majorHAnsi" w:cstheme="majorHAnsi"/>
          <w:sz w:val="24"/>
          <w:szCs w:val="24"/>
        </w:rPr>
      </w:pPr>
      <w:r w:rsidRPr="0022679C">
        <w:rPr>
          <w:rFonts w:asciiTheme="majorHAnsi" w:eastAsia="Palatino Linotype" w:hAnsiTheme="majorHAnsi" w:cstheme="majorHAnsi"/>
          <w:b/>
          <w:sz w:val="24"/>
          <w:szCs w:val="24"/>
        </w:rPr>
        <w:lastRenderedPageBreak/>
        <w:t xml:space="preserve">I PRINCIPALI ATTORI INTERNI DEL SISTEMA DI CONTRASTO ALLA CORRUZIONE </w:t>
      </w:r>
    </w:p>
    <w:p w14:paraId="433D579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Nell’aggiornamento del PNA, con riferimento all’ambito soggettivo, l’ANAC ha confermato le indicazioni già date nell’aggiornamento 2015 al PNA e ribadisce che l’attività di elaborazione del PTCP non può essere affidata a soggetti estranei all’ente. </w:t>
      </w:r>
    </w:p>
    <w:p w14:paraId="2355367C" w14:textId="28BEF6F5"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Tale attività deve essere svolta da chi opera all’interno dell’ente sia perché presuppone una conoscenza profonda della struttura amministrativa sia perché comporta l’individuazione di misure di prevenzione che si attanagliano meglio alla fisionomia dell’ente e dei suoi uffici.</w:t>
      </w:r>
    </w:p>
    <w:p w14:paraId="1718009A" w14:textId="4114EE3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Quindi esiste divieto di affidare incarichi di consulenza ad esterni nonché di utilizzare schemi o supporti forniti da soggetti esterni, il tutto correlato con il principio della clausola di invarianza della spesa che deve guidare le P.A. nell’attuazione della L.190/12 e dei decreti collegati.</w:t>
      </w:r>
    </w:p>
    <w:p w14:paraId="0EDBC759" w14:textId="007D7A18"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Per quanto riguarda i soggetti coinvolti nel processo di predisposizione e adozione del PTCPT, l’ANAC ha confermato le indicazioni già date nell’aggiornamento 2015 del PNA con riferimento al ruolo e alle responsabilità di tutti i soggetti che a vario titolo partecipano alla programmazione, adozione, attuazione e monitoraggio delle misure di prevenzione della corruzione.</w:t>
      </w:r>
    </w:p>
    <w:p w14:paraId="207B6C0A" w14:textId="57D4243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Nel Comune i soggetti che concorrono alla prevenzione della corruzione all’interno dell’ente sono i seguenti.</w:t>
      </w:r>
    </w:p>
    <w:p w14:paraId="39EC72C8"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3EFC3082"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L’organo di indirizzo politico</w:t>
      </w:r>
    </w:p>
    <w:p w14:paraId="3448A115"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Questo soggetto:</w:t>
      </w:r>
    </w:p>
    <w:p w14:paraId="615881B6" w14:textId="667FDA1A" w:rsidR="00DC24FB" w:rsidRPr="0022679C" w:rsidRDefault="00A6469A" w:rsidP="004A2999">
      <w:pPr>
        <w:widowControl w:val="0"/>
        <w:numPr>
          <w:ilvl w:val="0"/>
          <w:numId w:val="5"/>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nomina il responsabile della prevenzione della corruzione e trasparenza; ai sensi dell’art. 1 c. 7 della L.190/2012 come novellato dall’art. 41 co. 1 lett. f del d.lgs. 97/2016 &lt;&lt;</w:t>
      </w:r>
      <w:r w:rsidRPr="0022679C">
        <w:rPr>
          <w:rFonts w:asciiTheme="majorHAnsi" w:eastAsia="Palatino Linotype" w:hAnsiTheme="majorHAnsi" w:cstheme="majorHAnsi"/>
          <w:i/>
          <w:sz w:val="24"/>
          <w:szCs w:val="24"/>
        </w:rPr>
        <w:t>L'organo di indirizzo individua, di norma tra i dirigenti di ruolo in servizio, il Responsabile della prevenzione della corruzione e della trasparenza, disponendo le eventuali modifiche organizzative necessarie per assicurare funzioni e poteri idonei per lo svolgimento dell'incarico con piena autonomia ed effettività. Negli enti locali, il Responsabile della prevenzione della corruzione e della trasparenza è individuato, di norma, nel segretario o nel dirigente apicale, salva diversa e motivata determinazione&gt;&gt;</w:t>
      </w:r>
      <w:r w:rsidRPr="0022679C">
        <w:rPr>
          <w:rFonts w:asciiTheme="majorHAnsi" w:eastAsia="Palatino Linotype" w:hAnsiTheme="majorHAnsi" w:cstheme="majorHAnsi"/>
          <w:sz w:val="24"/>
          <w:szCs w:val="24"/>
        </w:rPr>
        <w:t xml:space="preserve">; </w:t>
      </w:r>
    </w:p>
    <w:p w14:paraId="1B751037" w14:textId="77777777" w:rsidR="00DC24FB" w:rsidRPr="0022679C" w:rsidRDefault="00A6469A" w:rsidP="004A2999">
      <w:pPr>
        <w:widowControl w:val="0"/>
        <w:numPr>
          <w:ilvl w:val="0"/>
          <w:numId w:val="5"/>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adotta il P.T.P.C. e i suoi aggiornamenti; </w:t>
      </w:r>
    </w:p>
    <w:p w14:paraId="74FBD370" w14:textId="77777777" w:rsidR="00DC24FB" w:rsidRDefault="00A6469A" w:rsidP="004A2999">
      <w:pPr>
        <w:widowControl w:val="0"/>
        <w:numPr>
          <w:ilvl w:val="0"/>
          <w:numId w:val="5"/>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adotta tutti gli atti di indirizzo di carattere generale che siano direttamente o indirettamente finalizzati alla prevenzione della corruzione (ad es.: criteri generali per il conferimento e l’autorizzazione allo svolgimento degli incarichi da parte dei dipendenti ex art. 53 del d.lgs. n. 165 del 2001). </w:t>
      </w:r>
    </w:p>
    <w:p w14:paraId="6E97045E" w14:textId="77777777" w:rsidR="004A2999" w:rsidRPr="0022679C" w:rsidRDefault="004A2999" w:rsidP="004A2999">
      <w:pPr>
        <w:widowControl w:val="0"/>
        <w:numPr>
          <w:ilvl w:val="0"/>
          <w:numId w:val="5"/>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p>
    <w:p w14:paraId="7BEB5822"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b/>
          <w:sz w:val="24"/>
          <w:szCs w:val="24"/>
        </w:rPr>
        <w:t xml:space="preserve">Il Responsabile della prevenzione della corruzione </w:t>
      </w:r>
    </w:p>
    <w:p w14:paraId="0EA118A6"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Il Segretario comunale del Comune è il Responsabile della prevenzione della corruzione ed è anche il Responsabile della trasparenza.</w:t>
      </w:r>
    </w:p>
    <w:p w14:paraId="553B5B5D" w14:textId="51DF1134"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RPC rappresenta uno dei soggetti fondamentali nell’ambito della normativa sulla prevenzione della corruzione e della trasparenza.  </w:t>
      </w:r>
    </w:p>
    <w:p w14:paraId="612CEE6D" w14:textId="29A6199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figura del RPCT è stata istituita dalla Legge 6 novembre 2012 n. 190, che stabilisce che ogni Amministrazione approvi un PTPC che valuti il livello di esposizione degli uffici al rischio e indichi gli interventi organizzativi necessari per mitigarlo. La predisposizione e la verifica dell’attuazione di detto Piano sono attribuite ad un Responsabile della prevenzione della corruzione e della trasparenza. </w:t>
      </w:r>
    </w:p>
    <w:p w14:paraId="13C3BE2B" w14:textId="57B4ED5B"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1, co. 7, della L. 190/2012 stabilisce che il RPCT è individuato dall’organo di indirizzo, di norma tra i dirigenti di ruolo in servizio, disponendo le eventuali modifiche organizzative necessarie per assicurare funzioni e poteri idonei per lo svolgimento dell'incarico con piena </w:t>
      </w:r>
      <w:r w:rsidRPr="0022679C">
        <w:rPr>
          <w:rFonts w:asciiTheme="majorHAnsi" w:eastAsia="Palatino Linotype" w:hAnsiTheme="majorHAnsi" w:cstheme="majorHAnsi"/>
          <w:sz w:val="24"/>
          <w:szCs w:val="24"/>
        </w:rPr>
        <w:lastRenderedPageBreak/>
        <w:t xml:space="preserve">autonomia ed effettività. </w:t>
      </w:r>
    </w:p>
    <w:p w14:paraId="576320AE"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1, co. 8, della L. 190/2012 stabilisce che il RPCT predispone – in via esclusiva, essendo vietato l’ausilio esterno – il PTPCT e lo sottopone all’Organo di indirizzo per la necessaria approvazione. </w:t>
      </w:r>
    </w:p>
    <w:p w14:paraId="6DEE59B3" w14:textId="5302B19F"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1, co. 7, della L. 190/2012 stabilisce che il RPCT segnala all'organo di indirizzo e all'OIV le “disfunzioni” inerenti all'attuazione delle misure in materia di prevenzione della corruzione e di trasparenza indicando agli uffici competenti all'esercizio dell'azione disciplinare i nominativi dei dipendenti che non hanno attuato correttamente le misure in materia di prevenzione della corruzione e di trasparenza. </w:t>
      </w:r>
    </w:p>
    <w:p w14:paraId="6BF40EE7"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1, co. 9, lett. c), della L. 190/2012 dispone che il PTPC prevede «obblighi di informazione nei confronti del RPC chiamato a vigilare sul funzionamento e sull’osservanza del Piano», con particolare riguardo alle attività ivi individuate. </w:t>
      </w:r>
    </w:p>
    <w:p w14:paraId="0CEC9CE5" w14:textId="08F6565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1, co. 10, della L. 190/2012 stabilisce che il RPCT verifica l’efficace attuazione del PTPC e la sua idoneità proponendo modifiche dello stesso quando sono accertate significative violazioni delle prescrizioni ovvero quando intervengono mutamenti nell’organizzazione o nell’attività dell’Amministrazione. La richiamata disposizione assegna al RPCT anche il compito di verificare, d’intesa con il dirigente competente, l’effettiva rotazione degli incarichi negli uffici maggiormente esposti ai reati di corruzione, nonché quello di definire le procedure appropriate per selezionare e formare i dipendenti destinati ad operare nelle aree a rischio corruzione. </w:t>
      </w:r>
    </w:p>
    <w:p w14:paraId="6C4BC319" w14:textId="6D5A44DA"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1, co. 14, della L. 190/2012 stabilisce che il RPCT redige la relazione annuale recante i risultati dell’attività svolta, tra cui il rendiconto sull’attuazione delle misure di prevenzione definite nei PTPC. </w:t>
      </w:r>
    </w:p>
    <w:p w14:paraId="318881FB"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L’art. 43 del D.Lgs. 33/2013 assegna al RPCT, di norma, anche le funzioni di Responsabile per la  trasparenza, attribuendo a tale soggetto “</w:t>
      </w:r>
      <w:r w:rsidRPr="0022679C">
        <w:rPr>
          <w:rFonts w:asciiTheme="majorHAnsi" w:eastAsia="Palatino Linotype" w:hAnsiTheme="majorHAnsi" w:cstheme="majorHAnsi"/>
          <w:i/>
          <w:sz w:val="24"/>
          <w:szCs w:val="24"/>
        </w:rPr>
        <w:t>un'attività di controllo sull'adempimento da parte dell'Amministrazione degli obblighi di pubblicazione previsti dalla normativa vigente, assicurando la completezza, la chiarezza e l'aggiornamento delle informazioni pubblicate, nonché segnalando all'organo di indirizzo politico, all’Organismo  indipendente di valutazione (OIV), all'Autorità Nazionale Anticorruzione e, nei casi più gravi, all'Ufficio di disciplina i casi di mancato o ritardato adempimento degli obblighi di pubblicazione</w:t>
      </w:r>
      <w:r w:rsidRPr="0022679C">
        <w:rPr>
          <w:rFonts w:asciiTheme="majorHAnsi" w:eastAsia="Palatino Linotype" w:hAnsiTheme="majorHAnsi" w:cstheme="majorHAnsi"/>
          <w:sz w:val="24"/>
          <w:szCs w:val="24"/>
        </w:rPr>
        <w:t xml:space="preserve">”. </w:t>
      </w:r>
    </w:p>
    <w:p w14:paraId="5CEF433D" w14:textId="3B1060D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L’art. 5, co. 7, del D.Lgs. 33/2013 attribuisce al RPCT il compito di occuparsi dei casi di riesame dell’accesso civico: “</w:t>
      </w:r>
      <w:r w:rsidRPr="0022679C">
        <w:rPr>
          <w:rFonts w:asciiTheme="majorHAnsi" w:eastAsia="Palatino Linotype" w:hAnsiTheme="majorHAnsi" w:cstheme="majorHAnsi"/>
          <w:i/>
          <w:sz w:val="24"/>
          <w:szCs w:val="24"/>
        </w:rPr>
        <w:t>Nei casi di diniego totale o parziale dell'accesso o di mancata risposta entro il termine indicato al comma 6, il richiedente può presentare richiesta di riesame al Responsabile della prevenzione della corruzione e della trasparenza, che decide con provvedimento motivato, entro il termine di venti giorni</w:t>
      </w:r>
      <w:r w:rsidRPr="0022679C">
        <w:rPr>
          <w:rFonts w:asciiTheme="majorHAnsi" w:eastAsia="Palatino Linotype" w:hAnsiTheme="majorHAnsi" w:cstheme="majorHAnsi"/>
          <w:sz w:val="24"/>
          <w:szCs w:val="24"/>
        </w:rPr>
        <w:t>”.</w:t>
      </w:r>
    </w:p>
    <w:p w14:paraId="61F358D2" w14:textId="4C4F906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5, co. 10, del D.Lgs. 33/2013 precisa poi che, nel caso in cui la richiesta di accesso civico riguardi dati, informazioni o documenti oggetto di pubblicazione obbligatoria, il RPCT ha l'obbligo di effettuare la segnalazione all’Ufficio di disciplina di cui all’art. 43 co. 5 del D.Lgs. 33/2013. </w:t>
      </w:r>
    </w:p>
    <w:p w14:paraId="4FA34C13" w14:textId="2362972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45, co. 2, del D. Lgs. 33/2013 stabilisce che ANAC controlli l'operato dei responsabili per la trasparenza a cui può chiedere il rendiconto sui risultati del controllo svolto all'interno delle Amministrazioni. </w:t>
      </w:r>
    </w:p>
    <w:p w14:paraId="46AA624C" w14:textId="184CA82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L’art. 8 del D.P.R. n. 62 del 16 aprile 2013 stabilisce che i dipendenti dell’Amministrazione sono tenuti a “</w:t>
      </w:r>
      <w:r w:rsidRPr="0022679C">
        <w:rPr>
          <w:rFonts w:asciiTheme="majorHAnsi" w:eastAsia="Palatino Linotype" w:hAnsiTheme="majorHAnsi" w:cstheme="majorHAnsi"/>
          <w:i/>
          <w:sz w:val="24"/>
          <w:szCs w:val="24"/>
        </w:rPr>
        <w:t>rispettare le prescrizioni contenute nel Piano per la prevenzione della corruzione e a prestare collaborazione al Responsabile della prevenzione della corruzione</w:t>
      </w:r>
      <w:r w:rsidRPr="0022679C">
        <w:rPr>
          <w:rFonts w:asciiTheme="majorHAnsi" w:eastAsia="Palatino Linotype" w:hAnsiTheme="majorHAnsi" w:cstheme="majorHAnsi"/>
          <w:sz w:val="24"/>
          <w:szCs w:val="24"/>
        </w:rPr>
        <w:t xml:space="preserve">”. </w:t>
      </w:r>
    </w:p>
    <w:p w14:paraId="1189DEF2" w14:textId="4FDCA25C"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15, co. 3, del D.P.R. 16 aprile 2013 n. 62 stabilisce che il RPCT cura la diffusione della conoscenza dei Codici di comportamento nell’Amministrazione, il monitoraggio annuale della loro attuazione, la pubblicazione sul sito istituzionale e la comunicazione ad ANAC dei risultati </w:t>
      </w:r>
      <w:r w:rsidRPr="0022679C">
        <w:rPr>
          <w:rFonts w:asciiTheme="majorHAnsi" w:eastAsia="Palatino Linotype" w:hAnsiTheme="majorHAnsi" w:cstheme="majorHAnsi"/>
          <w:sz w:val="24"/>
          <w:szCs w:val="24"/>
        </w:rPr>
        <w:lastRenderedPageBreak/>
        <w:t xml:space="preserve">del monitoraggio. </w:t>
      </w:r>
    </w:p>
    <w:p w14:paraId="713A9B84" w14:textId="5E4D7F5B"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L’art. 16 co. 1-ter del D.Lgs. n. 165 del 2001 stabilisce che i dirigenti degli uffici dirigenziali generali sono tenuti a “</w:t>
      </w:r>
      <w:r w:rsidRPr="0022679C">
        <w:rPr>
          <w:rFonts w:asciiTheme="majorHAnsi" w:eastAsia="Palatino Linotype" w:hAnsiTheme="majorHAnsi" w:cstheme="majorHAnsi"/>
          <w:i/>
          <w:sz w:val="24"/>
          <w:szCs w:val="24"/>
        </w:rPr>
        <w:t>fornire le informazioni richieste dal soggetto competente per l'individuazione delle attività nell’ambito delle quali è più elevato il rischio corruzione</w:t>
      </w:r>
      <w:r w:rsidRPr="0022679C">
        <w:rPr>
          <w:rFonts w:asciiTheme="majorHAnsi" w:eastAsia="Palatino Linotype" w:hAnsiTheme="majorHAnsi" w:cstheme="majorHAnsi"/>
          <w:sz w:val="24"/>
          <w:szCs w:val="24"/>
        </w:rPr>
        <w:t xml:space="preserve">”. Tale soggetto competente è stato sin da subito (circolare del DFP n. 1/2013) individuato nel RPCT. A proposito l’Autorità nel PNA 2016 (§ 5.2.), richiamando tale disposizione, ha auspicato la creazione di un rapporto di collaborazione all’interno delle P.A. con il RPCT, specie da parte di quei soggetti che, in base alla programmazione del PTPC, sono responsabili dell’attuazione delle misure di prevenzione. </w:t>
      </w:r>
    </w:p>
    <w:p w14:paraId="706CFA3B" w14:textId="69D6F26A"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L’art 15 del D. Lgs. 39/2013, analogamente, stabilisce che il RPCT segnali i casi di possibile violazione delle disposizioni del richiamato decreto, tra gli altri anche all'Autorità Nazionale Anticorruzione.  La medesima norma, al co. 3, prevede l’intervento di ANAC sui provvedimenti di revoca del RPCT qualora rilevi che la revoca sia correlata alle attività svolte dal Responsabile in materia di prevenzione della corruzione. La richiamata disposizione si inserisce in un sistema più ampio di tutela e garanzia del RPCT messo in atto dal legislatore, che prevede l’intervento di ANAC su misure discriminatorie anche diverse dalla revoca, perpetuate nei confronti del RPCT per motivi collegati, direttamente o indirettamente, allo svolgimento delle sue funzioni (art. 1, co. 7, L. 190/2012). L’Autorità ha ritenuto opportuno disciplinare il proprio intervento sia con riferimento alla revoca, sia con riferimento alle altre misure discriminatorie nei confronti del RPCT con “Regolamento sull’esercizio del potere dell’Autorità di richiedere il riesame dei provvedimenti di revoca o di misure discriminatorie adottati nei confronti del Responsabile della prevenzione della corruzione e della trasparenza (RPCT) per  attività svolte in materia di prevenzione della corruzione” adottato dal Consiglio dell’Autorità in data 18 luglio 2018.</w:t>
      </w:r>
    </w:p>
    <w:p w14:paraId="44FE0FFF" w14:textId="77777777" w:rsidR="004A2999"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1FC89D33" w14:textId="328F781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Le figure apicali</w:t>
      </w:r>
    </w:p>
    <w:p w14:paraId="6E43796D" w14:textId="761ECB95"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Queste figure, con riferimento al Settore di rispettiva competenza, concorrono a dare attuazione a tutte le prescrizioni in materia di prevenzione della corruzione e trasparenza dell'attività amministrativa. </w:t>
      </w:r>
    </w:p>
    <w:p w14:paraId="2D964AE0"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Essi, in particolare:</w:t>
      </w:r>
    </w:p>
    <w:p w14:paraId="79C34C03" w14:textId="77777777" w:rsidR="00DC24FB" w:rsidRPr="0022679C" w:rsidRDefault="00A6469A" w:rsidP="004A2999">
      <w:pPr>
        <w:widowControl w:val="0"/>
        <w:numPr>
          <w:ilvl w:val="0"/>
          <w:numId w:val="4"/>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svolgono attività informativa nei confronti del RPC e dell’autorità giudiziaria (art. 16 d.lgs. n. 165 del 2001; art. 20 D.P.R. n. 3 del 1957; art.1, comma 3, l. n. 20 del 1994; art. 331 C.p.p); </w:t>
      </w:r>
    </w:p>
    <w:p w14:paraId="54480AB8" w14:textId="77777777" w:rsidR="00DC24FB" w:rsidRPr="0022679C" w:rsidRDefault="00A6469A" w:rsidP="004A2999">
      <w:pPr>
        <w:widowControl w:val="0"/>
        <w:numPr>
          <w:ilvl w:val="0"/>
          <w:numId w:val="4"/>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partecipano al processo di gestione del rischio e propongono le misure di prevenzione;</w:t>
      </w:r>
    </w:p>
    <w:p w14:paraId="6AD029F4" w14:textId="77777777" w:rsidR="00DC24FB" w:rsidRPr="0022679C" w:rsidRDefault="00A6469A" w:rsidP="004A2999">
      <w:pPr>
        <w:widowControl w:val="0"/>
        <w:numPr>
          <w:ilvl w:val="0"/>
          <w:numId w:val="4"/>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assicurano l’osservanza del Codice di comportamento e verificano le ipotesi di violazione;</w:t>
      </w:r>
    </w:p>
    <w:p w14:paraId="4EE6722C" w14:textId="77777777" w:rsidR="00DC24FB" w:rsidRPr="0022679C" w:rsidRDefault="00A6469A" w:rsidP="004A2999">
      <w:pPr>
        <w:widowControl w:val="0"/>
        <w:numPr>
          <w:ilvl w:val="0"/>
          <w:numId w:val="4"/>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adottano le misure gestionali, quali l’avvio di procedimenti disciplinari, la rotazione del personale e sono tenuti ad osservare le misure contenute nel P.T.P.C. e le disposizioni del d.lgs. 33 del 2013. </w:t>
      </w:r>
    </w:p>
    <w:p w14:paraId="00C937C7" w14:textId="77777777" w:rsidR="004A2999"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79B6D7A0" w14:textId="61B89216"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 xml:space="preserve">I Referenti </w:t>
      </w:r>
    </w:p>
    <w:p w14:paraId="767B0690" w14:textId="167515BB"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Tenuto conto della carenza di personale, specie a causa dei vincoli posti in materia di assunzioni, il Comune non è nella possibilità di dotare il Responsabile della Prevenzione di stabile struttura di supporto. </w:t>
      </w:r>
    </w:p>
    <w:p w14:paraId="7E2E3485" w14:textId="77777777" w:rsidR="004A2999" w:rsidRPr="0022679C"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68B7C2D0"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 xml:space="preserve">L’Organismo Indipendente di Valutazione </w:t>
      </w:r>
    </w:p>
    <w:p w14:paraId="6CB9932E"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Con il d.lgs. n. 97/2016 risulta rafforzato ulteriormente il ruolo attribuito all’OIV, anche con l’intento di creare maggiore comunicazione con le attività del RPC. </w:t>
      </w:r>
    </w:p>
    <w:p w14:paraId="265041F3" w14:textId="24CF717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L’OIV riveste un ruolo importante nel sistema di gestione della performance e della trasparenza, secondo quanto previsto nell’art. 14 del d.lgs. n. 150/2009 e s.m.i. </w:t>
      </w:r>
    </w:p>
    <w:p w14:paraId="6FFED307"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lastRenderedPageBreak/>
        <w:t xml:space="preserve">Pertanto l’OIV: </w:t>
      </w:r>
    </w:p>
    <w:p w14:paraId="1DF2A5E3" w14:textId="454197FC" w:rsidR="00DC24FB" w:rsidRPr="0022679C"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valida la Relazione sulla performance e ne assicura la visibilità attraverso la pubblicazione sul sito istituzionale dell'amministrazione;</w:t>
      </w:r>
    </w:p>
    <w:p w14:paraId="00D2B023" w14:textId="77777777" w:rsidR="00DC24FB" w:rsidRPr="0022679C"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verifica che i piani triennali per la prevenzione della corruzione siano coerenti con gli obiettivi stabiliti nei documenti di programmazione strategico-gestionale e che nella misurazione e valutazione delle performance si tenga conto degli obiettivi connessi all'anticorruzione e alla trasparenza;</w:t>
      </w:r>
    </w:p>
    <w:p w14:paraId="2DBBEACF" w14:textId="77777777" w:rsidR="00DC24FB" w:rsidRPr="0022679C"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verifica i contenuti della Relazione della Performance in rapporto agli obiettivi inerenti alla prevenzione della corruzione e alla trasparenza e, a tal fine, può chiedere al RPC le informazioni e i documenti necessari per lo svolgimento del controllo e può effettuare audizioni dei dipendenti; </w:t>
      </w:r>
    </w:p>
    <w:p w14:paraId="1D2BD49B" w14:textId="77777777" w:rsidR="00DC24FB" w:rsidRPr="0022679C"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in linea con quanto già disposto dall’art. 44 del d.lgs. 33/2013, modificato dal d.lgs. 97/2016, verifica la coerenza tra gli obiettivi previsti nel PTPC e quelli indicati nel Piano della performance;</w:t>
      </w:r>
    </w:p>
    <w:p w14:paraId="3587EF46" w14:textId="007074A5" w:rsidR="00DC24FB" w:rsidRPr="0022679C"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propone all'organo di indirizzo politico-amministrativo la valutazione annuale degli incaricati di posizione organizzativa e l'attribuzione ad essi dei premi;</w:t>
      </w:r>
    </w:p>
    <w:p w14:paraId="3AF33206" w14:textId="7537861A" w:rsidR="00DC24FB" w:rsidRPr="0022679C"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promuove e attesta l’assolvimento degli obblighi di trasparenza e può essere coinvolto dall’ANAC per l’acquisizione di ulteriori informazioni sul controllo dell’esatto adempimento degli obblighi di trasparenza;</w:t>
      </w:r>
    </w:p>
    <w:p w14:paraId="1ED2ED65" w14:textId="77777777" w:rsidR="00DC24FB" w:rsidRPr="0022679C"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esprime parere obbligatorio sul codice di comportamento;</w:t>
      </w:r>
    </w:p>
    <w:p w14:paraId="1CE9EDAC" w14:textId="77777777" w:rsidR="00DC24FB" w:rsidRPr="0022679C"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esprime parere vincolante sul Sistema di misurazione e valutazione della performance;</w:t>
      </w:r>
    </w:p>
    <w:p w14:paraId="554F98E1" w14:textId="77777777" w:rsidR="00DC24FB" w:rsidRDefault="00A6469A" w:rsidP="004A2999">
      <w:pPr>
        <w:widowControl w:val="0"/>
        <w:numPr>
          <w:ilvl w:val="0"/>
          <w:numId w:val="6"/>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comunica tempestivamente le criticità riscontrate ai competenti organi interni di governo, nonché alla Corte dei conti e all’ANAC. </w:t>
      </w:r>
    </w:p>
    <w:p w14:paraId="544407FE" w14:textId="77777777" w:rsidR="004A2999" w:rsidRPr="0022679C"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69A8CED2"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b/>
          <w:sz w:val="24"/>
          <w:szCs w:val="24"/>
        </w:rPr>
        <w:t>L’Ufficio Procedimenti Disciplinari (U.P.D.)</w:t>
      </w:r>
    </w:p>
    <w:p w14:paraId="0C133B63"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L’UPD è individuato in forza delle disposizioni regolamentari e/o organizzative vigenti, cui si rinvia.</w:t>
      </w:r>
    </w:p>
    <w:p w14:paraId="58DA0A6C" w14:textId="6F1E4F02"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L’UPD, per le infrazioni punibili con sanzioni superiori al rimprovero verbale, svolge tutta l’attività inerente i procedimenti disciplinari secondo le disposizioni legislative e contrattuali, provvede alle comunicazioni obbligatorie nei confronti dell’autorità giudiziaria e propone l’eventuale aggiornamento del Codice di comportamento. </w:t>
      </w:r>
    </w:p>
    <w:p w14:paraId="2978AD56" w14:textId="77777777" w:rsidR="004A2999" w:rsidRPr="0022679C"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3FCEB9AF"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b/>
          <w:sz w:val="24"/>
          <w:szCs w:val="24"/>
        </w:rPr>
        <w:t>Tutti i dipendenti dell’amministrazione</w:t>
      </w:r>
    </w:p>
    <w:p w14:paraId="05358E7A"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Tutti i dipendenti dell’Ente:</w:t>
      </w:r>
    </w:p>
    <w:p w14:paraId="72A78282" w14:textId="77777777" w:rsidR="00DC24FB" w:rsidRPr="0022679C" w:rsidRDefault="00A6469A" w:rsidP="004A2999">
      <w:pPr>
        <w:widowControl w:val="0"/>
        <w:numPr>
          <w:ilvl w:val="0"/>
          <w:numId w:val="2"/>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hanno il dovere di collaborare attivamente con il RPCT;</w:t>
      </w:r>
    </w:p>
    <w:p w14:paraId="1F46AB2B" w14:textId="77777777" w:rsidR="00DC24FB" w:rsidRPr="0022679C" w:rsidRDefault="00A6469A" w:rsidP="004A2999">
      <w:pPr>
        <w:widowControl w:val="0"/>
        <w:numPr>
          <w:ilvl w:val="0"/>
          <w:numId w:val="2"/>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partecipano al processo di gestione del rischio;</w:t>
      </w:r>
    </w:p>
    <w:p w14:paraId="7521407F" w14:textId="77777777" w:rsidR="00DC24FB" w:rsidRPr="0022679C" w:rsidRDefault="00A6469A" w:rsidP="004A2999">
      <w:pPr>
        <w:widowControl w:val="0"/>
        <w:numPr>
          <w:ilvl w:val="0"/>
          <w:numId w:val="2"/>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osservano le misure contenute nel PTPC;</w:t>
      </w:r>
    </w:p>
    <w:p w14:paraId="17B44AF7" w14:textId="77777777" w:rsidR="00DC24FB" w:rsidRPr="0022679C" w:rsidRDefault="00A6469A" w:rsidP="004A2999">
      <w:pPr>
        <w:widowControl w:val="0"/>
        <w:numPr>
          <w:ilvl w:val="0"/>
          <w:numId w:val="2"/>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segnalano le situazioni di illecito al proprio Responsabile o all’U.P.D., secondo le modalità di cui al Codice di comportamento e secondo quanto stabilito con Determinazione ANAC n. 6 del 28 aprile 2015 “Linee guida in materia di tutela del dipendente pubblico che segnala illeciti (c.d. “whistleblower”) e la L. 30 novembre 2017, n. 179 “Disposizioni per la tutela degli autori di segnalazioni di reati o irregolarità di cui siano venuti a conoscenza nell’ambito di un rapporto di lavoro pubblico o privato”; </w:t>
      </w:r>
    </w:p>
    <w:p w14:paraId="7AAC9EE6" w14:textId="77777777" w:rsidR="00DC24FB" w:rsidRPr="0022679C" w:rsidRDefault="00A6469A" w:rsidP="004A2999">
      <w:pPr>
        <w:widowControl w:val="0"/>
        <w:numPr>
          <w:ilvl w:val="0"/>
          <w:numId w:val="2"/>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highlight w:val="white"/>
        </w:rPr>
      </w:pPr>
      <w:r w:rsidRPr="0022679C">
        <w:rPr>
          <w:rFonts w:asciiTheme="majorHAnsi" w:eastAsia="Palatino Linotype" w:hAnsiTheme="majorHAnsi" w:cstheme="majorHAnsi"/>
          <w:sz w:val="24"/>
          <w:szCs w:val="24"/>
          <w:highlight w:val="white"/>
        </w:rPr>
        <w:t xml:space="preserve">segnalano casi di personale conflitto di interessi; </w:t>
      </w:r>
    </w:p>
    <w:p w14:paraId="4B58CE19" w14:textId="77777777" w:rsidR="00DC24FB" w:rsidRPr="0022679C" w:rsidRDefault="00A6469A" w:rsidP="004A2999">
      <w:pPr>
        <w:widowControl w:val="0"/>
        <w:numPr>
          <w:ilvl w:val="0"/>
          <w:numId w:val="2"/>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highlight w:val="white"/>
        </w:rPr>
      </w:pPr>
      <w:r w:rsidRPr="0022679C">
        <w:rPr>
          <w:rFonts w:asciiTheme="majorHAnsi" w:eastAsia="Palatino Linotype" w:hAnsiTheme="majorHAnsi" w:cstheme="majorHAnsi"/>
          <w:sz w:val="24"/>
          <w:szCs w:val="24"/>
          <w:highlight w:val="white"/>
        </w:rPr>
        <w:t xml:space="preserve">osservano il Codice di comportamento; </w:t>
      </w:r>
    </w:p>
    <w:p w14:paraId="28E76854" w14:textId="77777777" w:rsidR="00DC24FB" w:rsidRPr="0022679C" w:rsidRDefault="00A6469A" w:rsidP="004A2999">
      <w:pPr>
        <w:widowControl w:val="0"/>
        <w:numPr>
          <w:ilvl w:val="0"/>
          <w:numId w:val="2"/>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highlight w:val="white"/>
        </w:rPr>
      </w:pPr>
      <w:r w:rsidRPr="0022679C">
        <w:rPr>
          <w:rFonts w:asciiTheme="majorHAnsi" w:eastAsia="Palatino Linotype" w:hAnsiTheme="majorHAnsi" w:cstheme="majorHAnsi"/>
          <w:sz w:val="24"/>
          <w:szCs w:val="24"/>
          <w:highlight w:val="white"/>
        </w:rPr>
        <w:t xml:space="preserve">informano il proprio Responsabile ove accertino l’assenza o il mancato aggiornamento dei dati nella Sezione “Amministrazione trasparente”; </w:t>
      </w:r>
    </w:p>
    <w:p w14:paraId="509A30C9" w14:textId="78C9E819" w:rsidR="00DC24FB" w:rsidRPr="0022679C" w:rsidRDefault="00A6469A" w:rsidP="004A2999">
      <w:pPr>
        <w:widowControl w:val="0"/>
        <w:numPr>
          <w:ilvl w:val="0"/>
          <w:numId w:val="2"/>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highlight w:val="white"/>
        </w:rPr>
      </w:pPr>
      <w:r w:rsidRPr="0022679C">
        <w:rPr>
          <w:rFonts w:asciiTheme="majorHAnsi" w:eastAsia="Palatino Linotype" w:hAnsiTheme="majorHAnsi" w:cstheme="majorHAnsi"/>
          <w:sz w:val="24"/>
          <w:szCs w:val="24"/>
        </w:rPr>
        <w:lastRenderedPageBreak/>
        <w:t xml:space="preserve">danno immediata comunicazione al proprio Responsabile se rilevano la sussistenza di un conflitto di interessi, anche potenziale o apparente, nell’ambito dell’attività da svolgere; - segnalano tempestivamente al proprio Responsabile e al Segretario comunale l’eventuale sottoposizione a procedimento penale o il rinvio a giudizio, per tutti i reati. </w:t>
      </w:r>
    </w:p>
    <w:p w14:paraId="464E79CB"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4BA3345E"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 xml:space="preserve">I collaboratori </w:t>
      </w:r>
    </w:p>
    <w:p w14:paraId="4F1CC8E6" w14:textId="74DA0855"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I collaboratori</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a qualsiasi titolo dell’amministrazione sono tenuti ad osservare le misure contenute nel Piano e a segnalare le situazioni di illecito.</w:t>
      </w:r>
    </w:p>
    <w:p w14:paraId="1E53F5B9"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hAnsiTheme="majorHAnsi" w:cstheme="majorHAnsi"/>
          <w:sz w:val="24"/>
          <w:szCs w:val="24"/>
        </w:rPr>
        <w:br w:type="page"/>
      </w:r>
    </w:p>
    <w:p w14:paraId="14C3A989" w14:textId="77777777" w:rsidR="00DC24FB" w:rsidRPr="0022679C" w:rsidRDefault="00A6469A" w:rsidP="004A2999">
      <w:pPr>
        <w:widowControl w:val="0"/>
        <w:pBdr>
          <w:top w:val="nil"/>
          <w:left w:val="nil"/>
          <w:bottom w:val="nil"/>
          <w:right w:val="nil"/>
          <w:between w:val="nil"/>
        </w:pBdr>
        <w:shd w:val="clear" w:color="auto" w:fill="C6D9F1" w:themeFill="text2" w:themeFillTint="33"/>
        <w:spacing w:line="240" w:lineRule="auto"/>
        <w:ind w:left="1133" w:right="873"/>
        <w:contextualSpacing/>
        <w:jc w:val="center"/>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lastRenderedPageBreak/>
        <w:t>ANALISI DI CONTESTO</w:t>
      </w:r>
    </w:p>
    <w:p w14:paraId="314BA8A3" w14:textId="0B00733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redazione del presente Piano è frutto dell’analisi sia del contesto interno dell’organizzazione, attraverso la puntuale mappatura dei procedimenti/processi dell’Ente realizzata attraverso il coinvolgimento di tutte le figure apicali, sia dall’analisi del contesto esterno e delle dinamiche socio-territoriali in cui opera l’Amministrazione Comunale.  </w:t>
      </w:r>
    </w:p>
    <w:p w14:paraId="6A3E98CD" w14:textId="77777777" w:rsidR="004A2999"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3E915413" w14:textId="66912B7F"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 xml:space="preserve">Il contesto esterno </w:t>
      </w:r>
    </w:p>
    <w:p w14:paraId="68533517"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L’analisi del contesto esterno ha come obiettivo quello di evidenziare le caratteristiche dell’ambiente nel quale l’Amministrazione opera. </w:t>
      </w:r>
    </w:p>
    <w:p w14:paraId="5B28AB8A"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Con riferimento al contesto esterno, sono state analizzate sia le principali dinamiche territoriali e settoriali, sia le influenze o pressioni di interessi esterni a cui l’ente potrebbe essere sottoposto, con l’interpretazione dei dati e fattori esaminati ai fini della rilevazione del rischio corruttivo.</w:t>
      </w:r>
    </w:p>
    <w:p w14:paraId="4249B476"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Tra i fattori presi in considerazione, la legislazione nazionale derogatoria al decreto legislativo 50/2016 e il nuovo codice dei contratti, d.lgs. 36/2023, che recepisce buona parte di tale disciplina derogatoria nell’ottica di semplificare e ridurre gli oneri burocratici nonché l’aggiornamento 2023 al PNA 2022, approvato con delibera ANAC n. 605 del 19/12/2023, che in merito al tema dei contratti pubblici fornisce chiarimenti proprio con riferimento alle disposizioni del nuovo codice. </w:t>
      </w:r>
    </w:p>
    <w:p w14:paraId="209CD8DA"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L’attuazione del Piano Nazionale di Ripresa e Resilienza influisce sull’organizzazione comunale, in particolare nei settori che si occupano di acquisizione di lavori beni e servizi.</w:t>
      </w:r>
    </w:p>
    <w:p w14:paraId="3C37EFB3"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Nello specifico il Comune si è aggiudicato ingenti risorse per realizzare corposi investimenti in tempi molto brevi che hanno richiesto e richiedono l’applicazione della normativa semplificata per velocizzare i passaggi necessari atti a consentire la realizzazione delle opere inerenti nei tempi previsti; tali ingenti risorse potrebbero attrarre la criminalità organizzata con la partecipazione agli appalti  e con operazioni  di riciclaggio di denaro procurato in ambienti criminali e con pressione sulle imprese partecipanti.</w:t>
      </w:r>
    </w:p>
    <w:p w14:paraId="48F36AF6"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Di seguito alcuni dati, informazioni ed elementi esaminati, utili all’analisi del contesto esterno, derivanti da fonti nella presente Sottosezione citati, che evidenziano i rischi derivanti dalla presenza sul territorio di organizzazioni criminali organizzate; dati e informazioni utili a meglio calibrare le misure atte a presidiare le attività dell’ente al fine di ridurre i rischi.</w:t>
      </w:r>
    </w:p>
    <w:p w14:paraId="3D5B3D67"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Sono stati in tenuti in particolare considerazione alcuni dati rilevanti estrapolati dalle informazioni apprese da articoli di stampa, dall’ultima Relazione semestrale al Parlamento del Ministro dell’Interno sull’ attività svolta e sui risultati conseguiti dalla Direzione Investigativa Antimafia (</w:t>
      </w:r>
      <w:hyperlink r:id="rId5">
        <w:r w:rsidRPr="0022679C">
          <w:rPr>
            <w:rFonts w:asciiTheme="majorHAnsi" w:eastAsia="Palatino Linotype" w:hAnsiTheme="majorHAnsi" w:cstheme="majorHAnsi"/>
            <w:sz w:val="24"/>
            <w:szCs w:val="24"/>
            <w:u w:val="single"/>
          </w:rPr>
          <w:t>https://direzioneinvestigativaantimafia.interno.gov.it/wp-content/uploads/2023/09/DIA_secondo_semestre_2022Rpdf.pdf</w:t>
        </w:r>
      </w:hyperlink>
      <w:r w:rsidRPr="0022679C">
        <w:rPr>
          <w:rFonts w:asciiTheme="majorHAnsi" w:eastAsia="Palatino Linotype" w:hAnsiTheme="majorHAnsi" w:cstheme="majorHAnsi"/>
          <w:sz w:val="24"/>
          <w:szCs w:val="24"/>
        </w:rPr>
        <w:t xml:space="preserve">), </w:t>
      </w:r>
      <w:r w:rsidRPr="00A6469A">
        <w:rPr>
          <w:rFonts w:asciiTheme="majorHAnsi" w:eastAsia="Palatino Linotype" w:hAnsiTheme="majorHAnsi" w:cstheme="majorHAnsi"/>
          <w:sz w:val="24"/>
          <w:szCs w:val="24"/>
        </w:rPr>
        <w:t>con specifico riferimento alla provincia di Brescia</w:t>
      </w:r>
      <w:r w:rsidRPr="0022679C">
        <w:rPr>
          <w:rFonts w:asciiTheme="majorHAnsi" w:eastAsia="Palatino Linotype" w:hAnsiTheme="majorHAnsi" w:cstheme="majorHAnsi"/>
          <w:sz w:val="24"/>
          <w:szCs w:val="24"/>
        </w:rPr>
        <w:t>, nonché dalla relazione del magistrato, Procuratore Capo del Tribunale di Brescia dott.  Francesco Prete nel corso dell’incontro organizzato dal Network Antimafia Bresciano, dal titolo “Il ruolo strategico per prevenire e fronteggiare le infiltrazioni del crimine organizzato” tenutosi presso il Moka in data 11/12/2023).</w:t>
      </w:r>
      <w:r w:rsidRPr="0022679C">
        <w:rPr>
          <w:rFonts w:asciiTheme="majorHAnsi" w:eastAsia="Palatino Linotype" w:hAnsiTheme="majorHAnsi" w:cstheme="majorHAnsi"/>
          <w:sz w:val="24"/>
          <w:szCs w:val="24"/>
          <w:u w:val="single"/>
        </w:rPr>
        <w:t xml:space="preserve"> </w:t>
      </w:r>
    </w:p>
    <w:p w14:paraId="704F70AE"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32A2C25E"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Il contesto interno</w:t>
      </w:r>
    </w:p>
    <w:p w14:paraId="29074D11" w14:textId="3C29109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Per l’analisi del contesto interno si ha riguardo agli aspetti legati all’organizzazione e alla gestione operativa che influenzano la sensibilità della struttura al rischio corruzione. In particolare essa è utile a evidenziare, da un lato, il sistema delle responsabilità e, dall’altro, il livello di complessità dell’Ente.  </w:t>
      </w:r>
    </w:p>
    <w:p w14:paraId="1824528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quadro organizzativo del Comune (struttura organizzativa, organigramma e </w:t>
      </w:r>
      <w:r w:rsidRPr="00A6469A">
        <w:rPr>
          <w:rFonts w:asciiTheme="majorHAnsi" w:eastAsia="Palatino Linotype" w:hAnsiTheme="majorHAnsi" w:cstheme="majorHAnsi"/>
          <w:sz w:val="24"/>
          <w:szCs w:val="24"/>
        </w:rPr>
        <w:t>funzionigramma</w:t>
      </w:r>
      <w:r w:rsidRPr="0022679C">
        <w:rPr>
          <w:rFonts w:asciiTheme="majorHAnsi" w:eastAsia="Palatino Linotype" w:hAnsiTheme="majorHAnsi" w:cstheme="majorHAnsi"/>
          <w:sz w:val="24"/>
          <w:szCs w:val="24"/>
        </w:rPr>
        <w:t xml:space="preserve">) </w:t>
      </w:r>
    </w:p>
    <w:p w14:paraId="447DE3B9" w14:textId="5806B1D3"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lastRenderedPageBreak/>
        <w:t xml:space="preserve">Dall’ analisi del contesto interno del Comune sin qui realizzata e propedeutica alla esatta definizione e inquadramento dell’organizzazione dell’Ente, delle sue necessità, dell’effettiva propensione o meno delle aree in cui esso è articolato a fenomeni corruttivi, non si evidenzia un quadro  connotato da criticità, essendosi rivelata una realtà comunale tranquilla e apparentemente improntata al  regolare svolgimento di tutte le attività comunali. </w:t>
      </w:r>
    </w:p>
    <w:p w14:paraId="2C960746"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sectPr w:rsidR="00DC24FB" w:rsidRPr="0022679C" w:rsidSect="004E2A37">
          <w:pgSz w:w="11900" w:h="16820"/>
          <w:pgMar w:top="1133" w:right="693" w:bottom="1860" w:left="0" w:header="0" w:footer="720" w:gutter="0"/>
          <w:pgNumType w:start="1"/>
          <w:cols w:space="720"/>
        </w:sectPr>
      </w:pPr>
    </w:p>
    <w:p w14:paraId="12A1E4D2"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hAnsiTheme="majorHAnsi" w:cstheme="majorHAnsi"/>
          <w:sz w:val="24"/>
          <w:szCs w:val="24"/>
        </w:rPr>
        <w:br w:type="page"/>
      </w:r>
    </w:p>
    <w:p w14:paraId="67D3FE57" w14:textId="77777777" w:rsidR="00DC24FB" w:rsidRPr="0022679C" w:rsidRDefault="00A6469A" w:rsidP="004A2999">
      <w:pPr>
        <w:widowControl w:val="0"/>
        <w:pBdr>
          <w:top w:val="nil"/>
          <w:left w:val="nil"/>
          <w:bottom w:val="nil"/>
          <w:right w:val="nil"/>
          <w:between w:val="nil"/>
        </w:pBdr>
        <w:shd w:val="clear" w:color="auto" w:fill="C6D9F1" w:themeFill="text2" w:themeFillTint="33"/>
        <w:spacing w:line="240" w:lineRule="auto"/>
        <w:ind w:left="1133" w:right="873"/>
        <w:contextualSpacing/>
        <w:jc w:val="center"/>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lastRenderedPageBreak/>
        <w:t xml:space="preserve">VALUTAZIONE DEL RISCHIO E MISURE DI PREVENZIONE </w:t>
      </w:r>
    </w:p>
    <w:p w14:paraId="4AD13655" w14:textId="7D3A701A"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Nel rinviare alle schede misure specifiche allegate, si dà in questa sede atto che la fase principale della gestione del rischio è la mappatura dei processi attuati dall’Amministrazione, che consente l’individuazione del contesto entro cui deve essere sviluppata la valutazione del rischio. </w:t>
      </w:r>
    </w:p>
    <w:p w14:paraId="571E35D7" w14:textId="77C7EAD8"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valutazione del rischio è la macro-fase del processo di gestione del rischio in cui lo stesso è identificato, analizzato e confrontato con gli altri rischi al fine di individuare le priorità di intervento e le possibili misure correttive/preventive (trattamento del rischio). </w:t>
      </w:r>
    </w:p>
    <w:p w14:paraId="3D046694" w14:textId="4B4E9816"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 valutazione del rischio si articola in tre fasi: l’identificazione, l’analisi e la ponderazione. L’attività di valutazione del rischio viene operata per ciascun processo o fase di processo attuato dall’Amministrazione.</w:t>
      </w:r>
      <w:r w:rsidRPr="0022679C">
        <w:rPr>
          <w:rFonts w:asciiTheme="majorHAnsi" w:eastAsia="Palatino Linotype" w:hAnsiTheme="majorHAnsi" w:cstheme="majorHAnsi"/>
          <w:sz w:val="24"/>
          <w:szCs w:val="24"/>
        </w:rPr>
        <w:br/>
        <w:t xml:space="preserve">L’identificazione del rischio consiste nella ricerca, individuazione e descrizione dei rischi. I potenziali rischi, intesi come comportamenti prevedibili, evidenziano una devianza dai canoni della legalità, del buon andamento e dell’imparzialità dell’azione amministrativa per il conseguimento di vantaggi privati.  L’attività di identificazione richiede che per ciascun processo o fase di processo siano fatti emergere i possibili rischi di corruzione. Questi emergono considerando il contesto esterno ed interno all’amministrazione, anche con riferimento alle specifiche posizioni organizzative presenti. </w:t>
      </w:r>
    </w:p>
    <w:p w14:paraId="6CDFFDB3" w14:textId="63F42BD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L’analisi del rischio ha un duplice obiettivo. Il primo è quello di pervenire ad una comprensione più approfondita degli eventi rischiosi identificati nella fase precedente, attraverso l’analisi dei cosiddetti fattori abilitanti della corruzione. Il secondo è quello di stimare il livello di esposizione dei processi e delle relative attività al rischio. </w:t>
      </w:r>
    </w:p>
    <w:p w14:paraId="6814B63C" w14:textId="685C3556" w:rsidR="00DC24FB" w:rsidRPr="0022679C"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Pr>
          <w:rFonts w:asciiTheme="majorHAnsi" w:eastAsia="Palatino Linotype" w:hAnsiTheme="majorHAnsi" w:cstheme="majorHAnsi"/>
          <w:sz w:val="24"/>
          <w:szCs w:val="24"/>
        </w:rPr>
        <w:t xml:space="preserve">È </w:t>
      </w:r>
      <w:r w:rsidRPr="0022679C">
        <w:rPr>
          <w:rFonts w:asciiTheme="majorHAnsi" w:eastAsia="Palatino Linotype" w:hAnsiTheme="majorHAnsi" w:cstheme="majorHAnsi"/>
          <w:sz w:val="24"/>
          <w:szCs w:val="24"/>
        </w:rPr>
        <w:t xml:space="preserve">stato rilevato in relazione ai processi oggetto di mappatura, anche tenuto conto degli esiti dell’ultima relazione sulla prevenzione della corruzione, la ricorrenza dei seguenti cd. fattori abilitanti comuni a ciascuna Settore di rischio: ridotta attuazione di misure di trattamento del rischio, poca ricettività della struttura all’implementazione delle misure indicate, limitato coinvolgimento nell’elaborazione delle misure di prevenzione, carenza di personale con competenze specifiche in materia, poca consapevolezza dell’esistenza di concreti rischi corruttivi. </w:t>
      </w:r>
    </w:p>
    <w:p w14:paraId="7D9FFF86" w14:textId="471B3EE4"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Si è quindi proceduto per ogni processo alla stima del livello di esposizione al rischio sulla base di specifici indicatori, previa acquisizione di dati e informazioni, e alla formulazione di un giudizio sintetico.</w:t>
      </w:r>
    </w:p>
    <w:p w14:paraId="583FAC49" w14:textId="77777777" w:rsidR="004A2999"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7E1AAED0" w14:textId="34771A7B"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Per ogni oggetto di analisi (processo) e tenendo conto dei dati raccolti, si è proceduto alla misurazione di ognuno degli indicatori prescelti, applicando una scala di misurazione ordinale: </w:t>
      </w:r>
      <w:r w:rsidRPr="0022679C">
        <w:rPr>
          <w:rFonts w:asciiTheme="majorHAnsi" w:eastAsia="Palatino Linotype" w:hAnsiTheme="majorHAnsi" w:cstheme="majorHAnsi"/>
          <w:b/>
          <w:sz w:val="24"/>
          <w:szCs w:val="24"/>
        </w:rPr>
        <w:t>alto, medio, basso</w:t>
      </w:r>
      <w:r w:rsidRPr="0022679C">
        <w:rPr>
          <w:rFonts w:asciiTheme="majorHAnsi" w:eastAsia="Palatino Linotype" w:hAnsiTheme="majorHAnsi" w:cstheme="majorHAnsi"/>
          <w:sz w:val="24"/>
          <w:szCs w:val="24"/>
        </w:rPr>
        <w:t xml:space="preserve">. </w:t>
      </w:r>
    </w:p>
    <w:p w14:paraId="1C4A56DC" w14:textId="77777777" w:rsidR="004A2999"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17B6D4EE" w14:textId="77777777" w:rsidR="004A2999"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sezione si completa di una valutazione complessiva reca le seguenti sigle di rischio corrispondenti: </w:t>
      </w:r>
    </w:p>
    <w:p w14:paraId="248788D5" w14:textId="77777777" w:rsidR="004A2999"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tbl>
      <w:tblPr>
        <w:tblStyle w:val="Grigliatabella"/>
        <w:tblW w:w="5524" w:type="dxa"/>
        <w:jc w:val="center"/>
        <w:tblLook w:val="04A0" w:firstRow="1" w:lastRow="0" w:firstColumn="1" w:lastColumn="0" w:noHBand="0" w:noVBand="1"/>
      </w:tblPr>
      <w:tblGrid>
        <w:gridCol w:w="2917"/>
        <w:gridCol w:w="2607"/>
      </w:tblGrid>
      <w:tr w:rsidR="004A2999" w14:paraId="5F38A84F" w14:textId="77777777" w:rsidTr="00FE73CB">
        <w:trPr>
          <w:jc w:val="center"/>
        </w:trPr>
        <w:tc>
          <w:tcPr>
            <w:tcW w:w="2917" w:type="dxa"/>
          </w:tcPr>
          <w:p w14:paraId="53999325" w14:textId="4F9D51BF" w:rsidR="004A2999" w:rsidRPr="00FE73CB" w:rsidRDefault="004A2999" w:rsidP="00FE73CB">
            <w:pPr>
              <w:widowControl w:val="0"/>
              <w:ind w:right="-110"/>
              <w:contextualSpacing/>
              <w:jc w:val="center"/>
              <w:rPr>
                <w:rFonts w:asciiTheme="majorHAnsi" w:eastAsia="Palatino Linotype" w:hAnsiTheme="majorHAnsi" w:cstheme="majorHAnsi"/>
                <w:b/>
                <w:bCs/>
                <w:sz w:val="20"/>
                <w:szCs w:val="20"/>
              </w:rPr>
            </w:pPr>
            <w:r w:rsidRPr="00FE73CB">
              <w:rPr>
                <w:rFonts w:asciiTheme="majorHAnsi" w:eastAsia="Palatino Linotype" w:hAnsiTheme="majorHAnsi" w:cstheme="majorHAnsi"/>
                <w:b/>
                <w:bCs/>
                <w:sz w:val="20"/>
                <w:szCs w:val="20"/>
              </w:rPr>
              <w:t>LIVELLO DI RISCHIO</w:t>
            </w:r>
          </w:p>
        </w:tc>
        <w:tc>
          <w:tcPr>
            <w:tcW w:w="2607" w:type="dxa"/>
          </w:tcPr>
          <w:p w14:paraId="45AED546" w14:textId="6A5613D9" w:rsidR="004A2999" w:rsidRPr="00FE73CB" w:rsidRDefault="004A2999" w:rsidP="00FE73CB">
            <w:pPr>
              <w:widowControl w:val="0"/>
              <w:tabs>
                <w:tab w:val="left" w:pos="927"/>
              </w:tabs>
              <w:ind w:right="174"/>
              <w:contextualSpacing/>
              <w:jc w:val="center"/>
              <w:rPr>
                <w:rFonts w:asciiTheme="majorHAnsi" w:eastAsia="Palatino Linotype" w:hAnsiTheme="majorHAnsi" w:cstheme="majorHAnsi"/>
                <w:b/>
                <w:bCs/>
                <w:sz w:val="20"/>
                <w:szCs w:val="20"/>
              </w:rPr>
            </w:pPr>
            <w:r w:rsidRPr="00FE73CB">
              <w:rPr>
                <w:rFonts w:asciiTheme="majorHAnsi" w:eastAsia="Palatino Linotype" w:hAnsiTheme="majorHAnsi" w:cstheme="majorHAnsi"/>
                <w:b/>
                <w:bCs/>
                <w:sz w:val="20"/>
                <w:szCs w:val="20"/>
              </w:rPr>
              <w:t>SIGLA CORRISPONDENTE</w:t>
            </w:r>
          </w:p>
        </w:tc>
      </w:tr>
      <w:tr w:rsidR="004A2999" w14:paraId="609F01C2" w14:textId="77777777" w:rsidTr="00FE73CB">
        <w:trPr>
          <w:jc w:val="center"/>
        </w:trPr>
        <w:tc>
          <w:tcPr>
            <w:tcW w:w="2917" w:type="dxa"/>
          </w:tcPr>
          <w:p w14:paraId="1B9DBC4A" w14:textId="48A3272B" w:rsidR="004A2999" w:rsidRDefault="004A2999" w:rsidP="00FE73CB">
            <w:pPr>
              <w:widowControl w:val="0"/>
              <w:ind w:right="133"/>
              <w:contextualSpacing/>
              <w:jc w:val="center"/>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quasi nullo</w:t>
            </w:r>
          </w:p>
        </w:tc>
        <w:tc>
          <w:tcPr>
            <w:tcW w:w="2607" w:type="dxa"/>
          </w:tcPr>
          <w:p w14:paraId="0D4D1157" w14:textId="73A5330B" w:rsidR="004A2999" w:rsidRDefault="004A2999" w:rsidP="00FE73CB">
            <w:pPr>
              <w:widowControl w:val="0"/>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N</w:t>
            </w:r>
          </w:p>
        </w:tc>
      </w:tr>
      <w:tr w:rsidR="004A2999" w14:paraId="5DAA3615" w14:textId="77777777" w:rsidTr="00FE73CB">
        <w:trPr>
          <w:trHeight w:val="224"/>
          <w:jc w:val="center"/>
        </w:trPr>
        <w:tc>
          <w:tcPr>
            <w:tcW w:w="2917" w:type="dxa"/>
          </w:tcPr>
          <w:p w14:paraId="4F13506F" w14:textId="36228512" w:rsidR="004A2999" w:rsidRDefault="00FE73CB" w:rsidP="00FE73CB">
            <w:pPr>
              <w:widowControl w:val="0"/>
              <w:ind w:right="133"/>
              <w:contextualSpacing/>
              <w:jc w:val="center"/>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molto basso</w:t>
            </w:r>
          </w:p>
        </w:tc>
        <w:tc>
          <w:tcPr>
            <w:tcW w:w="2607" w:type="dxa"/>
          </w:tcPr>
          <w:p w14:paraId="33018DD0" w14:textId="5BA76B05" w:rsidR="00FE73CB" w:rsidRDefault="00FE73CB" w:rsidP="00FE73CB">
            <w:pPr>
              <w:widowControl w:val="0"/>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B-</w:t>
            </w:r>
          </w:p>
        </w:tc>
      </w:tr>
      <w:tr w:rsidR="004A2999" w14:paraId="000F251C" w14:textId="77777777" w:rsidTr="00FE73CB">
        <w:trPr>
          <w:jc w:val="center"/>
        </w:trPr>
        <w:tc>
          <w:tcPr>
            <w:tcW w:w="2917" w:type="dxa"/>
          </w:tcPr>
          <w:p w14:paraId="65E9B571" w14:textId="7FC8D371" w:rsidR="004A2999" w:rsidRDefault="00FE73CB" w:rsidP="00FE73CB">
            <w:pPr>
              <w:widowControl w:val="0"/>
              <w:ind w:right="133"/>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basso</w:t>
            </w:r>
          </w:p>
        </w:tc>
        <w:tc>
          <w:tcPr>
            <w:tcW w:w="2607" w:type="dxa"/>
          </w:tcPr>
          <w:p w14:paraId="51E2ACE1" w14:textId="7574CBF6" w:rsidR="004A2999" w:rsidRDefault="00FE73CB" w:rsidP="00FE73CB">
            <w:pPr>
              <w:widowControl w:val="0"/>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B</w:t>
            </w:r>
          </w:p>
        </w:tc>
      </w:tr>
      <w:tr w:rsidR="004A2999" w14:paraId="45AA8CCC" w14:textId="77777777" w:rsidTr="00FE73CB">
        <w:trPr>
          <w:jc w:val="center"/>
        </w:trPr>
        <w:tc>
          <w:tcPr>
            <w:tcW w:w="2917" w:type="dxa"/>
          </w:tcPr>
          <w:p w14:paraId="600F4FD4" w14:textId="78055633" w:rsidR="004A2999" w:rsidRDefault="00FE73CB" w:rsidP="00FE73CB">
            <w:pPr>
              <w:widowControl w:val="0"/>
              <w:ind w:right="133"/>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moderato</w:t>
            </w:r>
          </w:p>
        </w:tc>
        <w:tc>
          <w:tcPr>
            <w:tcW w:w="2607" w:type="dxa"/>
          </w:tcPr>
          <w:p w14:paraId="46765BBF" w14:textId="1CC19D79" w:rsidR="004A2999" w:rsidRDefault="00FE73CB" w:rsidP="00FE73CB">
            <w:pPr>
              <w:widowControl w:val="0"/>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M</w:t>
            </w:r>
          </w:p>
        </w:tc>
      </w:tr>
      <w:tr w:rsidR="004A2999" w14:paraId="35EC511A" w14:textId="77777777" w:rsidTr="00FE73CB">
        <w:trPr>
          <w:jc w:val="center"/>
        </w:trPr>
        <w:tc>
          <w:tcPr>
            <w:tcW w:w="2917" w:type="dxa"/>
          </w:tcPr>
          <w:p w14:paraId="3AE842DB" w14:textId="6A5E1EF2" w:rsidR="004A2999" w:rsidRDefault="00FE73CB" w:rsidP="00FE73CB">
            <w:pPr>
              <w:widowControl w:val="0"/>
              <w:ind w:right="133"/>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alto</w:t>
            </w:r>
          </w:p>
        </w:tc>
        <w:tc>
          <w:tcPr>
            <w:tcW w:w="2607" w:type="dxa"/>
          </w:tcPr>
          <w:p w14:paraId="7B598FBD" w14:textId="4AC2DD3C" w:rsidR="004A2999" w:rsidRDefault="00FE73CB" w:rsidP="00FE73CB">
            <w:pPr>
              <w:widowControl w:val="0"/>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A</w:t>
            </w:r>
          </w:p>
        </w:tc>
      </w:tr>
      <w:tr w:rsidR="004A2999" w14:paraId="4883A939" w14:textId="77777777" w:rsidTr="00FE73CB">
        <w:trPr>
          <w:jc w:val="center"/>
        </w:trPr>
        <w:tc>
          <w:tcPr>
            <w:tcW w:w="2917" w:type="dxa"/>
          </w:tcPr>
          <w:p w14:paraId="45F02DA2" w14:textId="6B4948A5" w:rsidR="004A2999" w:rsidRDefault="00FE73CB" w:rsidP="00FE73CB">
            <w:pPr>
              <w:widowControl w:val="0"/>
              <w:ind w:right="133"/>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molto alto</w:t>
            </w:r>
          </w:p>
        </w:tc>
        <w:tc>
          <w:tcPr>
            <w:tcW w:w="2607" w:type="dxa"/>
          </w:tcPr>
          <w:p w14:paraId="2A137BDD" w14:textId="227786C7" w:rsidR="004A2999" w:rsidRDefault="00FE73CB" w:rsidP="00FE73CB">
            <w:pPr>
              <w:widowControl w:val="0"/>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A+</w:t>
            </w:r>
          </w:p>
        </w:tc>
      </w:tr>
      <w:tr w:rsidR="004A2999" w14:paraId="370944FA" w14:textId="77777777" w:rsidTr="00FE73CB">
        <w:trPr>
          <w:jc w:val="center"/>
        </w:trPr>
        <w:tc>
          <w:tcPr>
            <w:tcW w:w="2917" w:type="dxa"/>
          </w:tcPr>
          <w:p w14:paraId="7DFFC4AC" w14:textId="4E8E5E76" w:rsidR="004A2999" w:rsidRDefault="00FE73CB" w:rsidP="00FE73CB">
            <w:pPr>
              <w:widowControl w:val="0"/>
              <w:ind w:right="133"/>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altissimo</w:t>
            </w:r>
          </w:p>
        </w:tc>
        <w:tc>
          <w:tcPr>
            <w:tcW w:w="2607" w:type="dxa"/>
          </w:tcPr>
          <w:p w14:paraId="5828F9F0" w14:textId="072B3744" w:rsidR="004A2999" w:rsidRDefault="00FE73CB" w:rsidP="00FE73CB">
            <w:pPr>
              <w:widowControl w:val="0"/>
              <w:contextualSpacing/>
              <w:jc w:val="center"/>
              <w:rPr>
                <w:rFonts w:asciiTheme="majorHAnsi" w:eastAsia="Palatino Linotype" w:hAnsiTheme="majorHAnsi" w:cstheme="majorHAnsi"/>
                <w:sz w:val="24"/>
                <w:szCs w:val="24"/>
              </w:rPr>
            </w:pPr>
            <w:r>
              <w:rPr>
                <w:rFonts w:asciiTheme="majorHAnsi" w:eastAsia="Palatino Linotype" w:hAnsiTheme="majorHAnsi" w:cstheme="majorHAnsi"/>
                <w:sz w:val="24"/>
                <w:szCs w:val="24"/>
              </w:rPr>
              <w:t>A++</w:t>
            </w:r>
          </w:p>
        </w:tc>
      </w:tr>
    </w:tbl>
    <w:p w14:paraId="08C7A7FE" w14:textId="6659A25E" w:rsidR="004A2999"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1B1D4994" w14:textId="77777777" w:rsidR="003F23CE" w:rsidRDefault="003F23CE"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0A6FF9BE" w14:textId="5B7E6609"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lastRenderedPageBreak/>
        <w:t xml:space="preserve">Ogni misurazione è stata motivata alla luce dei dati e delle evidenze raccolte; dalla misurazione dei singoli indicatori si è pervenuti ad una valutazione complessiva del livello di esposizione al rischio.  </w:t>
      </w:r>
    </w:p>
    <w:p w14:paraId="04CCB37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Sono stati individuati, a tal fine, i seguenti indicatori di stima del livello del rischio: </w:t>
      </w:r>
    </w:p>
    <w:p w14:paraId="3C0E5E22" w14:textId="375B96D8"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1. Livello di interesse “esterno”: ai fini della misurazione si è valutata la presenza di interessi, anche economici, rilevanti e di benefici per i destinatari del processo.  </w:t>
      </w:r>
    </w:p>
    <w:p w14:paraId="0E3E2023" w14:textId="13D470B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2. Grado di discrezionalità del decisore interno alla PA: ai fini della misurazione si è valutata la presenza di norme legislative, norme interne e atti amministrativi che vincolano gli organi di amministrazione attiva nell’assunzione delle decisioni. </w:t>
      </w:r>
    </w:p>
    <w:p w14:paraId="006393C5" w14:textId="6D3782B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3. Manifestazione di eventi corruttivi in passato nel processo esaminato: ai fini della misurazione si è valutato il verificarsi negli ultimi 5 anni di eventi corruttivi, di contenziosi e l’applicazione di sanzioni disciplinari per fatti di cattiva amministrazione presso l’Ente e gli Enti del comprensorio, nonché la sussistenza di eventi corruttivi o interessi criminali tratti da notizie giornalistiche, provvedimenti giudiziari e dati di esperienza.  </w:t>
      </w:r>
    </w:p>
    <w:p w14:paraId="072890C3" w14:textId="059DDA8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4. Opacità del processo decisionale: ai fini della misurazione si è valutata l’esistenza di norme di legge e di norme e/o disposizioni interne che prevedano obblighi di pubblicazione a garanzia di trasparenza sostanziale.  </w:t>
      </w:r>
    </w:p>
    <w:p w14:paraId="3A46320D" w14:textId="23677248"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L’analisi dell’esposizione al rischio di ciascun processo è stata svolta secondo il criterio generale di prudenza, rappresentando il valore più alto nella stima dell’esposizione complessiva del rischio. </w:t>
      </w:r>
    </w:p>
    <w:p w14:paraId="31FB0131" w14:textId="52980275"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valutazione del rischio è finalizzata a individuare le azioni da intraprendere per ridurre l’esposizione delle attività al rischio corruttivo.  </w:t>
      </w:r>
    </w:p>
    <w:p w14:paraId="0569959D" w14:textId="66B7C60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L’analisi dell’esposizione al rischio di ciascun processo è stata svolta secondo il criterio generale di prudenza, rappresentando il valore più alto nella stima dell’esposizione complessiva del rischio. La valutazione del rischio è finalizzata a individuare le azioni da intraprendere per ridurre l’esposizione delle attività al rischio corruttivo.  </w:t>
      </w:r>
    </w:p>
    <w:p w14:paraId="3E9D4F39" w14:textId="3335EE7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Sono state poi individuate delle misure di trattamento del rischio, identificando e programmando le singole misure di prevenzione per fasi di processo, processi o aggregati di processo (schede di cui alle Misure di rischio specifiche del presente Piano – Allegato A). </w:t>
      </w:r>
    </w:p>
    <w:p w14:paraId="33F51779" w14:textId="370AFE5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Sono state dunque individuate delle </w:t>
      </w:r>
      <w:r w:rsidRPr="0022679C">
        <w:rPr>
          <w:rFonts w:asciiTheme="majorHAnsi" w:eastAsia="Palatino Linotype" w:hAnsiTheme="majorHAnsi" w:cstheme="majorHAnsi"/>
          <w:b/>
          <w:sz w:val="24"/>
          <w:szCs w:val="24"/>
        </w:rPr>
        <w:t>misure di trattamento del rischio di carattere generale</w:t>
      </w:r>
      <w:r w:rsidRPr="0022679C">
        <w:rPr>
          <w:rFonts w:asciiTheme="majorHAnsi" w:eastAsia="Palatino Linotype" w:hAnsiTheme="majorHAnsi" w:cstheme="majorHAnsi"/>
          <w:sz w:val="24"/>
          <w:szCs w:val="24"/>
        </w:rPr>
        <w:t xml:space="preserve">: </w:t>
      </w:r>
    </w:p>
    <w:p w14:paraId="5C9247A9" w14:textId="423F7CE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1. Rotazione del personale: la dotazione organica dell’Ente è limitata e non consente, di fatto, l’applicazione concreta del criterio della rotazione. Non esistono figure professionali perfettamente fungibili all’interno dell’Ente. </w:t>
      </w:r>
    </w:p>
    <w:p w14:paraId="72D3FBE7" w14:textId="2FA36B59"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2. Esclusione, riportata in tutti i contratti di questo Ente, del ricorso all’arbitrato (esclusione della clausola compromissoria ai sensi dell’art. 241, comma 1 bis, del D.lgs. 163/2006 e s.m.i.). 3. Misure di rischio specifiche, individuate identificando e programmando le singole misure di prevenzione per fasi di processo, processi o aggregati di processo.</w:t>
      </w:r>
    </w:p>
    <w:p w14:paraId="4973C122"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78C504B3"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 xml:space="preserve">Individuazione delle attività a rischio </w:t>
      </w:r>
    </w:p>
    <w:p w14:paraId="39522E94" w14:textId="0358DB09"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In via generale il PNA ha indicato di sviluppare progressivamente la mappatura verso tutti i processi svolti dalle amministrazioni ed enti. Tuttavia per le amministrazioni e gli enti con meno di 50 dipendenti si è ritenuto, in una logica di semplificazione e in considerazione della sostenibilità delle azioni da porre in essere, di indicare le seguenti priorità rispetto ai processi da mappare e presidiare con specifiche misure: </w:t>
      </w:r>
    </w:p>
    <w:p w14:paraId="20D1BECE" w14:textId="22E3B28E" w:rsidR="00DC24FB" w:rsidRPr="0022679C" w:rsidRDefault="00A6469A" w:rsidP="004A2999">
      <w:pPr>
        <w:widowControl w:val="0"/>
        <w:numPr>
          <w:ilvl w:val="0"/>
          <w:numId w:val="3"/>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processi rilevanti per l’attuazione degli obiettivi del PNRR (ove le amministrazioni e gli enti provvedano alla realizzazione operativa degli interventi previsti dal PNRR) e dei fondi strutturali, in quanto processi che implicano la gestione di ingenti risorse finanziarie messe a disposizione dall'Unione europea</w:t>
      </w:r>
    </w:p>
    <w:p w14:paraId="2991B2EA" w14:textId="77777777" w:rsidR="00DC24FB" w:rsidRPr="0022679C" w:rsidRDefault="00A6469A" w:rsidP="004A2999">
      <w:pPr>
        <w:widowControl w:val="0"/>
        <w:numPr>
          <w:ilvl w:val="0"/>
          <w:numId w:val="3"/>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processi direttamente collegati a obiettivi di performance</w:t>
      </w:r>
    </w:p>
    <w:p w14:paraId="558978D3" w14:textId="50DCC856" w:rsidR="00DC24FB" w:rsidRPr="0022679C" w:rsidRDefault="00A6469A" w:rsidP="004A2999">
      <w:pPr>
        <w:widowControl w:val="0"/>
        <w:numPr>
          <w:ilvl w:val="0"/>
          <w:numId w:val="3"/>
        </w:numPr>
        <w:pBdr>
          <w:top w:val="nil"/>
          <w:left w:val="nil"/>
          <w:bottom w:val="nil"/>
          <w:right w:val="nil"/>
          <w:between w:val="nil"/>
        </w:pBdr>
        <w:spacing w:line="240" w:lineRule="auto"/>
        <w:ind w:left="1133" w:right="873" w:firstLine="0"/>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processi che coinvolgono la spendita di risorse pubbliche a cui vanno, ad esempio, ricondotti </w:t>
      </w:r>
      <w:r w:rsidRPr="0022679C">
        <w:rPr>
          <w:rFonts w:asciiTheme="majorHAnsi" w:eastAsia="Palatino Linotype" w:hAnsiTheme="majorHAnsi" w:cstheme="majorHAnsi"/>
          <w:sz w:val="24"/>
          <w:szCs w:val="24"/>
        </w:rPr>
        <w:lastRenderedPageBreak/>
        <w:t>i processi relativi ai contratti pubblici e alle erogazioni di sovvenzioni, contributi, sussidi, ausili finanziari, nonché l'attribuzione di vantaggi economici di qualunque genere a persone ed enti pubblici e privati.</w:t>
      </w:r>
    </w:p>
    <w:p w14:paraId="15ED0AE0" w14:textId="77777777"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Le Aree a rischio sono suddivise in: </w:t>
      </w:r>
    </w:p>
    <w:p w14:paraId="52BE20AE"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tbl>
      <w:tblPr>
        <w:tblStyle w:val="a"/>
        <w:tblW w:w="993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5"/>
        <w:gridCol w:w="7155"/>
      </w:tblGrid>
      <w:tr w:rsidR="0022679C" w:rsidRPr="0022679C" w14:paraId="4EA2CF38" w14:textId="77777777" w:rsidTr="00DD243E">
        <w:trPr>
          <w:jc w:val="center"/>
        </w:trPr>
        <w:tc>
          <w:tcPr>
            <w:tcW w:w="2775" w:type="dxa"/>
            <w:shd w:val="clear" w:color="auto" w:fill="auto"/>
            <w:tcMar>
              <w:top w:w="100" w:type="dxa"/>
              <w:left w:w="100" w:type="dxa"/>
              <w:bottom w:w="100" w:type="dxa"/>
              <w:right w:w="100" w:type="dxa"/>
            </w:tcMar>
          </w:tcPr>
          <w:p w14:paraId="41C6ED25" w14:textId="77777777" w:rsidR="00DC24FB" w:rsidRPr="0022679C" w:rsidRDefault="00A6469A" w:rsidP="004A2999">
            <w:pPr>
              <w:widowControl w:val="0"/>
              <w:spacing w:line="240" w:lineRule="auto"/>
              <w:ind w:right="75"/>
              <w:contextualSpacing/>
              <w:jc w:val="center"/>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Aree di rischio generali </w:t>
            </w:r>
          </w:p>
          <w:p w14:paraId="07848002" w14:textId="77777777" w:rsidR="00DC24FB" w:rsidRPr="0022679C" w:rsidRDefault="00DC24FB" w:rsidP="004A2999">
            <w:pPr>
              <w:widowControl w:val="0"/>
              <w:pBdr>
                <w:top w:val="nil"/>
                <w:left w:val="nil"/>
                <w:bottom w:val="nil"/>
                <w:right w:val="nil"/>
                <w:between w:val="nil"/>
              </w:pBdr>
              <w:spacing w:line="240" w:lineRule="auto"/>
              <w:ind w:left="1133"/>
              <w:contextualSpacing/>
              <w:jc w:val="center"/>
              <w:rPr>
                <w:rFonts w:asciiTheme="majorHAnsi" w:eastAsia="Palatino Linotype" w:hAnsiTheme="majorHAnsi" w:cstheme="majorHAnsi"/>
                <w:b/>
                <w:sz w:val="24"/>
                <w:szCs w:val="24"/>
                <w:u w:val="single"/>
              </w:rPr>
            </w:pPr>
          </w:p>
        </w:tc>
        <w:tc>
          <w:tcPr>
            <w:tcW w:w="7155" w:type="dxa"/>
            <w:shd w:val="clear" w:color="auto" w:fill="auto"/>
            <w:tcMar>
              <w:top w:w="100" w:type="dxa"/>
              <w:left w:w="100" w:type="dxa"/>
              <w:bottom w:w="100" w:type="dxa"/>
              <w:right w:w="100" w:type="dxa"/>
            </w:tcMar>
          </w:tcPr>
          <w:p w14:paraId="012F7EDC" w14:textId="77777777" w:rsidR="00DC24FB" w:rsidRPr="0022679C" w:rsidRDefault="00A6469A" w:rsidP="004A2999">
            <w:pPr>
              <w:widowControl w:val="0"/>
              <w:spacing w:line="240" w:lineRule="auto"/>
              <w:ind w:left="1133" w:right="219"/>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A: ACQUISIZIONE E GESTIONE DEL PERSONALE. </w:t>
            </w:r>
          </w:p>
          <w:p w14:paraId="16225EE5" w14:textId="7394460F" w:rsidR="00DC24FB" w:rsidRPr="0022679C" w:rsidRDefault="00A6469A" w:rsidP="004A2999">
            <w:pPr>
              <w:widowControl w:val="0"/>
              <w:spacing w:line="240" w:lineRule="auto"/>
              <w:ind w:left="1133" w:right="219"/>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B: CONTRATTI PUBBLICI. L’Area viene suddivisa nelle seguenti fasi: programmazione, progettazione della gara, selezione del contraente, verifica dell’aggiudicazione e stipula del contratto, esecuzione e rendicontazione. </w:t>
            </w:r>
          </w:p>
          <w:p w14:paraId="3F9F27AC" w14:textId="20349EAE" w:rsidR="00DC24FB" w:rsidRPr="0022679C" w:rsidRDefault="00A6469A" w:rsidP="004A2999">
            <w:pPr>
              <w:widowControl w:val="0"/>
              <w:spacing w:line="240" w:lineRule="auto"/>
              <w:ind w:left="1133" w:right="219"/>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C: PROVVEDIMENTI AMPLIATIVI DELLA SFERA GIURIDICA DI DESTINATARI PRIVI DI EFFETTO ECONOMICO DIRETTO ED IMMEDIATO PER I DESTINATARI.  Nell’Area si sviluppa la mappatura dei processi afferenti </w:t>
            </w:r>
            <w:r w:rsidR="00DD243E">
              <w:rPr>
                <w:rFonts w:asciiTheme="majorHAnsi" w:eastAsia="Palatino Linotype" w:hAnsiTheme="majorHAnsi" w:cstheme="majorHAnsi"/>
                <w:sz w:val="24"/>
                <w:szCs w:val="24"/>
              </w:rPr>
              <w:t>al</w:t>
            </w:r>
            <w:r w:rsidRPr="0022679C">
              <w:rPr>
                <w:rFonts w:asciiTheme="majorHAnsi" w:eastAsia="Palatino Linotype" w:hAnsiTheme="majorHAnsi" w:cstheme="majorHAnsi"/>
                <w:sz w:val="24"/>
                <w:szCs w:val="24"/>
              </w:rPr>
              <w:t xml:space="preserve">le concessioni e le autorizzazioni. </w:t>
            </w:r>
          </w:p>
          <w:p w14:paraId="57C1C477" w14:textId="35D62218" w:rsidR="00DC24FB" w:rsidRPr="0022679C" w:rsidRDefault="00A6469A" w:rsidP="004A2999">
            <w:pPr>
              <w:widowControl w:val="0"/>
              <w:spacing w:line="240" w:lineRule="auto"/>
              <w:ind w:left="1133" w:right="219"/>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D: PROVVEDIMENTI AMPLIATIVI DELLA SFERA GIURIDICA DEI DESTINATARI CON EFFETTO ECONOMICO DIRETTO ED IMMEDIATO PER IL DESTINATARIO. Nell' Area si sviluppa la mappatura dei processi afferenti la concessione di sovvenzioni, contributi ed altri vantaggi economici a persone fisiche, associazioni ed altri enti collettivi. </w:t>
            </w:r>
          </w:p>
          <w:p w14:paraId="3F9AFC9F" w14:textId="77777777" w:rsidR="00DC24FB" w:rsidRPr="0022679C" w:rsidRDefault="00A6469A" w:rsidP="004A2999">
            <w:pPr>
              <w:widowControl w:val="0"/>
              <w:spacing w:line="240" w:lineRule="auto"/>
              <w:ind w:left="1133" w:right="219"/>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AREA E: GESTIONE DELLE ENTRATE, DELLE SPESE E DEL PATRIMONIO</w:t>
            </w:r>
          </w:p>
          <w:p w14:paraId="37DA2F1D" w14:textId="77777777" w:rsidR="00DC24FB" w:rsidRPr="0022679C" w:rsidRDefault="00A6469A" w:rsidP="004A2999">
            <w:pPr>
              <w:widowControl w:val="0"/>
              <w:spacing w:line="240" w:lineRule="auto"/>
              <w:ind w:left="1133" w:right="219"/>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AREA F: CONTROLLI, VERIFICHE E SANZIONI</w:t>
            </w:r>
          </w:p>
          <w:p w14:paraId="484E2CB9" w14:textId="77777777" w:rsidR="00DC24FB" w:rsidRPr="0022679C" w:rsidRDefault="00A6469A" w:rsidP="004A2999">
            <w:pPr>
              <w:widowControl w:val="0"/>
              <w:spacing w:line="240" w:lineRule="auto"/>
              <w:ind w:left="1133" w:right="219"/>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F: INCARICHI E NOMINE. </w:t>
            </w:r>
          </w:p>
          <w:p w14:paraId="7A169018" w14:textId="77777777" w:rsidR="00DC24FB" w:rsidRPr="0022679C" w:rsidRDefault="00A6469A" w:rsidP="004A2999">
            <w:pPr>
              <w:widowControl w:val="0"/>
              <w:spacing w:line="240" w:lineRule="auto"/>
              <w:ind w:left="1133" w:right="219"/>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AREA G: AFFARI LEGALI E CONTENZIOSO.</w:t>
            </w:r>
          </w:p>
        </w:tc>
      </w:tr>
      <w:tr w:rsidR="0022679C" w:rsidRPr="0022679C" w14:paraId="08A22274" w14:textId="77777777" w:rsidTr="00DD243E">
        <w:trPr>
          <w:jc w:val="center"/>
        </w:trPr>
        <w:tc>
          <w:tcPr>
            <w:tcW w:w="2775" w:type="dxa"/>
            <w:shd w:val="clear" w:color="auto" w:fill="auto"/>
            <w:tcMar>
              <w:top w:w="100" w:type="dxa"/>
              <w:left w:w="100" w:type="dxa"/>
              <w:bottom w:w="100" w:type="dxa"/>
              <w:right w:w="100" w:type="dxa"/>
            </w:tcMar>
          </w:tcPr>
          <w:p w14:paraId="56F483C4" w14:textId="77777777" w:rsidR="00DC24FB" w:rsidRPr="0022679C" w:rsidRDefault="00A6469A" w:rsidP="004A2999">
            <w:pPr>
              <w:widowControl w:val="0"/>
              <w:spacing w:line="240" w:lineRule="auto"/>
              <w:ind w:right="13"/>
              <w:contextualSpacing/>
              <w:jc w:val="center"/>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Aree specifiche</w:t>
            </w:r>
          </w:p>
        </w:tc>
        <w:tc>
          <w:tcPr>
            <w:tcW w:w="7155" w:type="dxa"/>
            <w:shd w:val="clear" w:color="auto" w:fill="auto"/>
            <w:tcMar>
              <w:top w:w="100" w:type="dxa"/>
              <w:left w:w="100" w:type="dxa"/>
              <w:bottom w:w="100" w:type="dxa"/>
              <w:right w:w="100" w:type="dxa"/>
            </w:tcMar>
          </w:tcPr>
          <w:p w14:paraId="7D6FC9AB"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H: GESTIONE DEI RIFIUTI. </w:t>
            </w:r>
          </w:p>
          <w:p w14:paraId="4498B2A9"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I: GOVERNO DEL TERRITORIO. </w:t>
            </w:r>
          </w:p>
          <w:p w14:paraId="310ADBE1"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L: PIANIFICAZIONE URBANISTICA.  </w:t>
            </w:r>
          </w:p>
        </w:tc>
      </w:tr>
      <w:tr w:rsidR="0022679C" w:rsidRPr="0022679C" w14:paraId="473B538F" w14:textId="77777777" w:rsidTr="00DD243E">
        <w:trPr>
          <w:jc w:val="center"/>
        </w:trPr>
        <w:tc>
          <w:tcPr>
            <w:tcW w:w="2775" w:type="dxa"/>
            <w:shd w:val="clear" w:color="auto" w:fill="auto"/>
            <w:tcMar>
              <w:top w:w="100" w:type="dxa"/>
              <w:left w:w="100" w:type="dxa"/>
              <w:bottom w:w="100" w:type="dxa"/>
              <w:right w:w="100" w:type="dxa"/>
            </w:tcMar>
          </w:tcPr>
          <w:p w14:paraId="4F107C34" w14:textId="77777777" w:rsidR="00DC24FB" w:rsidRPr="0022679C" w:rsidRDefault="00A6469A" w:rsidP="004A2999">
            <w:pPr>
              <w:widowControl w:val="0"/>
              <w:spacing w:line="240" w:lineRule="auto"/>
              <w:ind w:right="13"/>
              <w:contextualSpacing/>
              <w:jc w:val="center"/>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Altre aree </w:t>
            </w:r>
          </w:p>
        </w:tc>
        <w:tc>
          <w:tcPr>
            <w:tcW w:w="7155" w:type="dxa"/>
            <w:shd w:val="clear" w:color="auto" w:fill="auto"/>
            <w:tcMar>
              <w:top w:w="100" w:type="dxa"/>
              <w:left w:w="100" w:type="dxa"/>
              <w:bottom w:w="100" w:type="dxa"/>
              <w:right w:w="100" w:type="dxa"/>
            </w:tcMar>
          </w:tcPr>
          <w:p w14:paraId="4679BC58"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AREA M: ALTRI SERVIZI </w:t>
            </w:r>
          </w:p>
        </w:tc>
      </w:tr>
    </w:tbl>
    <w:p w14:paraId="5552AC5C"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4A017BC0" w14:textId="6053D937"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Considerato che i processi che possono essere rilevanti per l’attuazione del PNRR possono essere  assolutamente trasversali e dunque ricadere anche in più aree di rischio tra quelle già identificate, si è ritenuto che gli stessi non  presuppongano lo svolgimento di attività diversa/ulteriore rispetto a quella già individuata nelle aree di  rischio mappate (in disparte parte la rendicontazione, che tuttavia viene valutata come ulteriore adempimento di  presidio della legalità dell’azione amministrativa)</w:t>
      </w:r>
      <w:r w:rsidR="00FE73CB">
        <w:rPr>
          <w:rFonts w:asciiTheme="majorHAnsi" w:eastAsia="Palatino Linotype" w:hAnsiTheme="majorHAnsi" w:cstheme="majorHAnsi"/>
          <w:sz w:val="24"/>
          <w:szCs w:val="24"/>
        </w:rPr>
        <w:t>.</w:t>
      </w:r>
    </w:p>
    <w:p w14:paraId="427C4348"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2E74BF22" w14:textId="77777777" w:rsidR="004A2999" w:rsidRPr="0022679C" w:rsidRDefault="004A2999"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35F556AF" w14:textId="42413697" w:rsidR="00DC24FB" w:rsidRPr="0022679C" w:rsidRDefault="004A2999" w:rsidP="004A2999">
      <w:pPr>
        <w:widowControl w:val="0"/>
        <w:pBdr>
          <w:top w:val="nil"/>
          <w:left w:val="nil"/>
          <w:bottom w:val="nil"/>
          <w:right w:val="nil"/>
          <w:between w:val="nil"/>
        </w:pBdr>
        <w:shd w:val="clear" w:color="auto" w:fill="C6D9F1" w:themeFill="text2" w:themeFillTint="33"/>
        <w:spacing w:line="240" w:lineRule="auto"/>
        <w:ind w:left="1133" w:right="873"/>
        <w:contextualSpacing/>
        <w:jc w:val="center"/>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MISURE DI PREVENZIONE DEL RISCHIO</w:t>
      </w:r>
    </w:p>
    <w:p w14:paraId="200B3A90" w14:textId="62E69E9F"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Per ogni processo si è effettuato il cd trattamento del rischio, con l’individuazione delle misure volte a neutralizzare o ridurre il rischio di corruzione, specificandone la competenza, la tempistica e gli indicatori di attuazione. </w:t>
      </w:r>
    </w:p>
    <w:p w14:paraId="69D2689F" w14:textId="21696223"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Con il termine “misura” si intende ogni intervento organizzativo, iniziativa, azione o strumento di carattere preventivo ritenuto idoneo a neutralizzare o mitigare il livello di rischio connesso ai processi amministrativi posti in essere dall’Ente. Tali misure possono essere classificate sotto diversi punti di vista.  </w:t>
      </w:r>
    </w:p>
    <w:p w14:paraId="48049273" w14:textId="65EC527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lastRenderedPageBreak/>
        <w:t xml:space="preserve">Una prima distinzione è quella tra: “misure generali” che intervengono in maniera trasversale sull’intera Amministrazione e “specifiche” che agiscono in maniera puntuale su alcuni specifici rischi individuati in fase di valutazione.  </w:t>
      </w:r>
    </w:p>
    <w:p w14:paraId="4E9A73A9"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727314D3" w14:textId="05E8CA02"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r w:rsidRPr="0022679C">
        <w:rPr>
          <w:rFonts w:asciiTheme="majorHAnsi" w:eastAsia="Palatino Linotype" w:hAnsiTheme="majorHAnsi" w:cstheme="majorHAnsi"/>
          <w:sz w:val="24"/>
          <w:szCs w:val="24"/>
        </w:rPr>
        <w:t xml:space="preserve">Oltre alle specifiche misure indicate nelle schede infra riportate, che costituiscono parte integrante e sostanziale del presente Piano, </w:t>
      </w:r>
      <w:r w:rsidRPr="0022679C">
        <w:rPr>
          <w:rFonts w:asciiTheme="majorHAnsi" w:eastAsia="Palatino Linotype" w:hAnsiTheme="majorHAnsi" w:cstheme="majorHAnsi"/>
          <w:sz w:val="24"/>
          <w:szCs w:val="24"/>
          <w:u w:val="single"/>
        </w:rPr>
        <w:t xml:space="preserve">di seguito si individuano le misure generali di prevenzione.  </w:t>
      </w:r>
    </w:p>
    <w:p w14:paraId="07187A20" w14:textId="77777777" w:rsidR="00FE73CB" w:rsidRPr="0022679C"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43F2D4B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FE73CB">
        <w:rPr>
          <w:rFonts w:asciiTheme="majorHAnsi" w:eastAsia="Palatino Linotype" w:hAnsiTheme="majorHAnsi" w:cstheme="majorHAnsi"/>
          <w:b/>
          <w:bCs/>
          <w:sz w:val="24"/>
          <w:szCs w:val="24"/>
        </w:rPr>
        <w:t>a)</w:t>
      </w:r>
      <w:r w:rsidRPr="0022679C">
        <w:rPr>
          <w:rFonts w:asciiTheme="majorHAnsi" w:eastAsia="Palatino Linotype" w:hAnsiTheme="majorHAnsi" w:cstheme="majorHAnsi"/>
          <w:sz w:val="24"/>
          <w:szCs w:val="24"/>
        </w:rPr>
        <w:t xml:space="preserve"> </w:t>
      </w:r>
      <w:r w:rsidRPr="0022679C">
        <w:rPr>
          <w:rFonts w:asciiTheme="majorHAnsi" w:eastAsia="Palatino Linotype" w:hAnsiTheme="majorHAnsi" w:cstheme="majorHAnsi"/>
          <w:b/>
          <w:i/>
          <w:sz w:val="24"/>
          <w:szCs w:val="24"/>
        </w:rPr>
        <w:t xml:space="preserve">Formazione </w:t>
      </w:r>
    </w:p>
    <w:p w14:paraId="55D675D2" w14:textId="3CA0198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formazione dei dipendenti è ritenuta dalla legge stessa uno degli strumenti fondamentali per l'azione preventiva. Per garantire un’adeguata formazione pertinente al presente Piano e assicurare una generale diffusione della cultura della legalità, l’Amministrazione si impegna ad attivare specifiche attività formative rivolte al personale dipendente, in materia di legalità, integrità, trasparenza e pubblicità.  Trattasi di una misura finalizzata a formulare una strategia di prevenzione del fenomeno corruttivo che punta ad esaminare l’organizzazione, le sue regole e le sue prassi di funzionamento in termini di “possibile esposizione” al fenomeno della corruzione. </w:t>
      </w:r>
    </w:p>
    <w:p w14:paraId="1F72EC3B"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partecipazione al piano di formazione da parte del personale rappresenta un'attività obbligatoria. </w:t>
      </w:r>
    </w:p>
    <w:p w14:paraId="052818C0"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16DD5F57" w14:textId="41917AF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Misura:</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 xml:space="preserve">programmazione della formazione in materia di prevenzione della corruzione che differenzi l’attività formativa tra personale dipendente e incaricati di posizione organizzativa. </w:t>
      </w:r>
    </w:p>
    <w:p w14:paraId="2F9CEC40"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459F4028" w14:textId="6E4A333F"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Monitoraggio:</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 xml:space="preserve">verifica dell’avvenuta aggiudicazione del servizio o della previsione di detta attività formativa in convenzioni con altri Enti. </w:t>
      </w:r>
    </w:p>
    <w:p w14:paraId="17F2D715"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096D172D" w14:textId="32203089"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Responsabile della misura:</w:t>
      </w:r>
      <w:r w:rsidRPr="0022679C">
        <w:rPr>
          <w:rFonts w:asciiTheme="majorHAnsi" w:eastAsia="Palatino Linotype" w:hAnsiTheme="majorHAnsi" w:cstheme="majorHAnsi"/>
          <w:sz w:val="24"/>
          <w:szCs w:val="24"/>
        </w:rPr>
        <w:t xml:space="preserve"> RPCT</w:t>
      </w:r>
    </w:p>
    <w:p w14:paraId="2E6E6C3A"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311A2071" w14:textId="77777777" w:rsidR="00FE73CB" w:rsidRPr="0022679C"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391EC84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b) </w:t>
      </w:r>
      <w:r w:rsidRPr="0022679C">
        <w:rPr>
          <w:rFonts w:asciiTheme="majorHAnsi" w:eastAsia="Palatino Linotype" w:hAnsiTheme="majorHAnsi" w:cstheme="majorHAnsi"/>
          <w:b/>
          <w:i/>
          <w:sz w:val="24"/>
          <w:szCs w:val="24"/>
        </w:rPr>
        <w:t xml:space="preserve">Obbligo di astensione in caso di conflitto d’interesse </w:t>
      </w:r>
    </w:p>
    <w:p w14:paraId="6CF53436" w14:textId="6B3DDA1C"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Le disposizioni sul conflitto di interessi fanno riferimento ad un’accezione ampia, attribuendo rilievo a qualsiasi posizione che potenzialmente possa minare il corretto agire amministrativo e compromettere, anche in astratto, l’imparzialità richiesta al dipendente pubblico nell’esercizio del potere decisionale.  Pertanto, alle situazioni palesi di conflitto di interessi reale e concreto, che sono quelle esplicitate all’art.  7 e all’art. 14 del D.P.R. n. 62 del 2013, si aggiungono quelle di potenziale conflitto che, seppure non tipizzate, potrebbero essere idonee a interferire con lo svolgimento dei doveri pubblici e inquinare l’imparzialità amministrativa o l’immagine imparziale del potere pubblico. </w:t>
      </w:r>
    </w:p>
    <w:p w14:paraId="15E0EA37" w14:textId="3EE551A4"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materia del conflitto di interessi è, inoltre, trattata nel Regolamento recante il “Codice di comportamento dei dipendenti pubblici”, emanato con il D.P.R. 16 aprile 2013, n. 62. In particolare, l’art. 6 rubricato “Comunicazione degli interessi finanziari e conflitti di interessi” prevede per il dipendente l’obbligo di comunicare al dirigente, all’atto di assegnazione all’ufficio, i rapporti intercorsi negli ultimi tre anni con soggetti privati in qualunque modo retribuiti. </w:t>
      </w:r>
    </w:p>
    <w:p w14:paraId="7085F75A" w14:textId="7E79E8F3"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comunicazione del dipendente riguarda anche i rapporti intercorsi o attuali dei parenti o affini entro il secondo grado, del coniuge o del convivente con soggetti privati. </w:t>
      </w:r>
    </w:p>
    <w:p w14:paraId="5E6F1A73" w14:textId="25EAB375"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dipendente è tenuto a specificare, altresì, se i soggetti privati abbiano interessi in attività o decisioni inerenti all’ufficio, con riferimento alle questioni a lui affidate. </w:t>
      </w:r>
    </w:p>
    <w:p w14:paraId="67569733" w14:textId="7973E2A3"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6 stabilisce inoltre per il dipendente l’obbligo di astensione dallo svolgimento di attività in situazioni di conflitto, anche potenziale, di interessi con interessi personali, del coniuge, di </w:t>
      </w:r>
      <w:r w:rsidRPr="0022679C">
        <w:rPr>
          <w:rFonts w:asciiTheme="majorHAnsi" w:eastAsia="Palatino Linotype" w:hAnsiTheme="majorHAnsi" w:cstheme="majorHAnsi"/>
          <w:sz w:val="24"/>
          <w:szCs w:val="24"/>
        </w:rPr>
        <w:lastRenderedPageBreak/>
        <w:t xml:space="preserve">conviventi, di parenti, di affini entro il secondo grado. </w:t>
      </w:r>
    </w:p>
    <w:p w14:paraId="7FF36F2B" w14:textId="4BAF351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7 del codice di comportamento contiene una tipizzazione delle relazioni personali o professionali sintomatiche del possibile conflitto di interessi e una norma di chiusura di carattere generale riguardante le “gravi ragioni di convenienza” che comportano l’obbligo di astensione, in sintonia con quanto disposto per l’astensione del giudice all’art. 51 c.p.c. </w:t>
      </w:r>
    </w:p>
    <w:p w14:paraId="38FCB730" w14:textId="248767F1"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Più nel dettaglio, l’art. 7 dispone che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 </w:t>
      </w:r>
    </w:p>
    <w:p w14:paraId="520C7BF0" w14:textId="175A9CFA"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Ciò vuol dire che, ogni qual volta si configurino le descritte situazioni di conflitto di interessi, il dipendente è tenuto a una comunicazione tempestiva al responsabile dell’ufficio di appartenenza che valuta nel caso concreto la sussistenza del conflitto. </w:t>
      </w:r>
    </w:p>
    <w:p w14:paraId="43FB7550" w14:textId="416223DA"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D.P.R. n. 62/2013 prevede un’ulteriore ipotesi di conflitto di interessi all’art. 14 rubricato “Contratti ed altri atti negoziali” che appare come una specificazione della previsione di carattere generale di cui all’art. 7 sopra citato. In particolare, il comma 2 dell’art. 14 dispone l’obbligo di astensione del dipendente nel caso in cui l’Amministrazione concluda accordi con imprese con cui il dipendente stesso abbia stipulato contratti a titolo privato (ad eccezione di quelli conclusi ai sensi dell’art. 1342 del codice civile) o ricevuto altre utilità nel biennio precedente. Il dipendente si “astiene dal partecipare all'adozione delle decisioni ed alle attività relative all'esecuzione del contratto, redigendo verbale scritto di tale astensione da conservare agli atti dell'ufficio”. </w:t>
      </w:r>
    </w:p>
    <w:p w14:paraId="20D050B6" w14:textId="207683E1"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Sebbene la norma sembri configurare un’ipotesi di conflitto di interessi configurabile in via automatica, si ritiene opportuno che il dipendente comunichi la situazione di conflitto al superiore gerarchico che decide sull’astensione in conformità a quanto previsto all’art. 7 del D.P.R. 62/2013. Si rammenta, peraltro, che uno specifico obbligo di informazione a carico del dipendente è previsto nel caso in cui stipuli contratti a titolo privato con persone fisiche o giuridiche private con le quali abbia concluso, nel biennio precedente, contratti di appalto, finanziamento e assicurazione, per conto dell’Amministrazione (art. 14, co. 3, del D.P.R. 62/2013). Pertanto, nei casi in cui il dipendente debba astenersi, tale astensione riguarda tutti gli atti del procedimento di competenza del funzionario interessato (cfr. delibera Anac n. 1186 del 19 dicembre 2018). </w:t>
      </w:r>
    </w:p>
    <w:p w14:paraId="72B51701" w14:textId="721EE40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L’ANAC ha anche prospettato la possibilità di considerare un periodo di raffreddamento ai fini della valutazione della sussistenza di situazioni di conflitto di interessi, nel caso in cui siano intercorsi rapporti con soggetti privati operanti in settori inerenti a quello in cui l’interessato svolge la funzione pubblica. Tenuto conto dell’assenza, nelle disposizioni legislative e normative vigenti, di indicazioni specifiche sui periodi temporali di astensione utili a determinare il venir meno di presunte situazioni di conflitto di interessi, si è ritenuto che l’arco temporale di due anni, previsto in materia di inconferibilità e incompatibilità di incarichi ai sensi del D. Lgs. 39/2013, sia utilmente applicabile anche per valutare l’attualità o meno di situazioni di conflitto di interessi (cfr. Delibera n. 321 del 28 marzo 2018). </w:t>
      </w:r>
    </w:p>
    <w:p w14:paraId="284066BE" w14:textId="261EC8B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verifica della insussistenza di situazioni di conflitto di interessi ai fini del conferimento dell’incarico di consulente risulta coerente con l’art. 2 del D.P.R. n. 62 del 2013, laddove è stabilito che le Pubbliche Amministrazioni di cui all’art. 1, co. 2, del D.Lgs. 165/2001 estendono gli obblighi di condotta previsti dal Codice di comportamento (e dunque anche la disciplina in </w:t>
      </w:r>
      <w:r w:rsidRPr="0022679C">
        <w:rPr>
          <w:rFonts w:asciiTheme="majorHAnsi" w:eastAsia="Palatino Linotype" w:hAnsiTheme="majorHAnsi" w:cstheme="majorHAnsi"/>
          <w:sz w:val="24"/>
          <w:szCs w:val="24"/>
        </w:rPr>
        <w:lastRenderedPageBreak/>
        <w:t xml:space="preserve">materia di conflitto di interessi), per quanto compatibili, anche a tutti i collaboratori o consulenti, a qualunque titolo e qualunque sia la tipologia di contratto o incarico, ai titolari di organi e di incarichi negli uffici di diretta collaborazione delle autorità politiche. </w:t>
      </w:r>
    </w:p>
    <w:p w14:paraId="150804B4"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49B257B9" w14:textId="525B563B"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Misura</w:t>
      </w:r>
      <w:r w:rsidRPr="0022679C">
        <w:rPr>
          <w:rFonts w:asciiTheme="majorHAnsi" w:eastAsia="Palatino Linotype" w:hAnsiTheme="majorHAnsi" w:cstheme="majorHAnsi"/>
          <w:sz w:val="24"/>
          <w:szCs w:val="24"/>
        </w:rPr>
        <w:t>:</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 xml:space="preserve">ogni dipendente deve comunicare tempestivamente al proprio Responsabile di Settore e/o al Segretario Comunale l’eventuale situazione di conflitto di interessi in cui versa per essere assegnato ad altro incarico o per la successiva revoca dell’incarico se trattasi di collaboratore o consulente. </w:t>
      </w:r>
    </w:p>
    <w:p w14:paraId="4A9A6590"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59DC1FBC" w14:textId="65449CF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Monitoraggio</w:t>
      </w:r>
      <w:r w:rsidRPr="0022679C">
        <w:rPr>
          <w:rFonts w:asciiTheme="majorHAnsi" w:eastAsia="Palatino Linotype" w:hAnsiTheme="majorHAnsi" w:cstheme="majorHAnsi"/>
          <w:sz w:val="24"/>
          <w:szCs w:val="24"/>
        </w:rPr>
        <w:t>:</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 xml:space="preserve">entro 30 giorni verifica se il dipendente in conflitto è stato assegnato ad altro incarico e se è subentrata revoca di incarico per il collaboratore o il consulente. </w:t>
      </w:r>
    </w:p>
    <w:p w14:paraId="00874C41"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6CBA4CBB" w14:textId="1447A69A" w:rsidR="00DC24FB" w:rsidRDefault="00A6469A" w:rsidP="00FE73CB">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Responsabile della misura</w:t>
      </w:r>
      <w:r w:rsidRPr="0022679C">
        <w:rPr>
          <w:rFonts w:asciiTheme="majorHAnsi" w:eastAsia="Palatino Linotype" w:hAnsiTheme="majorHAnsi" w:cstheme="majorHAnsi"/>
          <w:sz w:val="24"/>
          <w:szCs w:val="24"/>
        </w:rPr>
        <w:t>:</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 xml:space="preserve">RPCT per i Responsabili di Settore e ogni Responsabile di Settore per il personale dipendente assegnato al proprio Settore. </w:t>
      </w:r>
    </w:p>
    <w:p w14:paraId="32C56C21" w14:textId="77777777" w:rsidR="00716E36" w:rsidRPr="0022679C" w:rsidRDefault="00716E36" w:rsidP="00FE73CB">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47DB4276" w14:textId="77777777" w:rsidR="00FE73CB" w:rsidRDefault="00FE73C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421E8F2E" w14:textId="1BCF0BC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c) </w:t>
      </w:r>
      <w:r w:rsidRPr="0022679C">
        <w:rPr>
          <w:rFonts w:asciiTheme="majorHAnsi" w:eastAsia="Palatino Linotype" w:hAnsiTheme="majorHAnsi" w:cstheme="majorHAnsi"/>
          <w:b/>
          <w:i/>
          <w:sz w:val="24"/>
          <w:szCs w:val="24"/>
        </w:rPr>
        <w:t xml:space="preserve">Elaborazione della disciplina degli incarichi e delle attività non consentite ai dipendenti pubblici </w:t>
      </w:r>
    </w:p>
    <w:p w14:paraId="2967AB42" w14:textId="38849C8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Restano ferme le disposizioni previste dall’art. 53 del D.lgs. 165/2001 e, in particolare, dal comma 1 bis  relativo al divieto di conferimento di incarichi di direzione di strutture organizzative deputate alla  gestione del personale (cioè competenti in materia di reclutamento, trattamento e sviluppo delle risorse  umane) a soggetti che rivestano o abbiano rivestito negli ultimi due anni cariche in partiti politici ovvero  in movimenti sindacali oppure che abbiano avuto negli ultimi due anni rapporti continuativi di  collaborazione o di consulenza con le predette organizzazioni. Ai sensi dell’articolo 53 comma 3-bis del D.Lgs. 30.3.2001 n. 165 è altresì vietato ai dipendenti svolgere anche a titolo gratuito i seguenti incarichi: </w:t>
      </w:r>
    </w:p>
    <w:p w14:paraId="0921CAC3" w14:textId="65774DF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attività di collaborazione e consulenza a favore di soggetti ai quali abbiano, nel biennio precedente, aggiudicato ovvero concorso ad aggiudicare, per conto dell’Ente, appalti di lavori, forniture o servizi; </w:t>
      </w:r>
    </w:p>
    <w:p w14:paraId="706C4EC3" w14:textId="2CF7F24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attività di collaborazione e consulenza a favore di soggetti con i quali l’Ente ha in corso di definizione qualsiasi controversia civile, amministrativa o tributaria; </w:t>
      </w:r>
    </w:p>
    <w:p w14:paraId="06168A53" w14:textId="3F154715"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attività di collaborazione e consulenza a favore di soggetti pubblici o privati con i quali l’Ente ha instaurato o è in procinto di instaurare un rapporto di partenariato. </w:t>
      </w:r>
    </w:p>
    <w:p w14:paraId="29C552D1" w14:textId="781F54E8"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 divieti non si applicano in presenza di attività d’ufficio completamente priva di contenuti discrezionali, tali da non incidere sull’effettività del contenuto dell’atto. Il dipendente è tenuto a comunicare formalmente all’amministrazione comunale anche l’attribuzione di incarichi gratuiti. </w:t>
      </w:r>
    </w:p>
    <w:p w14:paraId="31006547"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1206EC67" w14:textId="143D1186"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Misura</w:t>
      </w:r>
      <w:r w:rsidRPr="0022679C">
        <w:rPr>
          <w:rFonts w:asciiTheme="majorHAnsi" w:eastAsia="Palatino Linotype" w:hAnsiTheme="majorHAnsi" w:cstheme="majorHAnsi"/>
          <w:sz w:val="24"/>
          <w:szCs w:val="24"/>
        </w:rPr>
        <w:t>:</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 xml:space="preserve">compilazione al momento del conferimento dell’incarico di autocertificazione ai sensi del D.P.R. n. 445/2000 relativa all’insussistenza delle cause previste all’art. 53 comma 1 bis del D.lgs.  n.165/2001. </w:t>
      </w:r>
    </w:p>
    <w:p w14:paraId="0EF364D4"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2EA7E20B" w14:textId="773A344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Monitoraggio</w:t>
      </w:r>
      <w:r w:rsidRPr="0022679C">
        <w:rPr>
          <w:rFonts w:asciiTheme="majorHAnsi" w:eastAsia="Palatino Linotype" w:hAnsiTheme="majorHAnsi" w:cstheme="majorHAnsi"/>
          <w:sz w:val="24"/>
          <w:szCs w:val="24"/>
        </w:rPr>
        <w:t xml:space="preserve">: verifica al momento del conferimento dell’incarico. </w:t>
      </w:r>
    </w:p>
    <w:p w14:paraId="1DA313D8"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7997836E" w14:textId="2A6FC9F2"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Responsabile della misura</w:t>
      </w:r>
      <w:r w:rsidRPr="0022679C">
        <w:rPr>
          <w:rFonts w:asciiTheme="majorHAnsi" w:eastAsia="Palatino Linotype" w:hAnsiTheme="majorHAnsi" w:cstheme="majorHAnsi"/>
          <w:sz w:val="24"/>
          <w:szCs w:val="24"/>
        </w:rPr>
        <w:t>: RPCT</w:t>
      </w:r>
    </w:p>
    <w:p w14:paraId="4397C350" w14:textId="77777777" w:rsidR="00716E36" w:rsidRPr="0022679C"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4499FF15"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62DBA6AA" w14:textId="05D6032C"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d) </w:t>
      </w:r>
      <w:r w:rsidRPr="0022679C">
        <w:rPr>
          <w:rFonts w:asciiTheme="majorHAnsi" w:eastAsia="Palatino Linotype" w:hAnsiTheme="majorHAnsi" w:cstheme="majorHAnsi"/>
          <w:b/>
          <w:i/>
          <w:sz w:val="24"/>
          <w:szCs w:val="24"/>
        </w:rPr>
        <w:t xml:space="preserve">Vigilanza sul rispetto delle disposizioni in materia di incompatibilità e di inconferibilità di incarichi presso la pubblica amministrazione e presso gli enti privati in controllo pubblico </w:t>
      </w:r>
    </w:p>
    <w:p w14:paraId="4A28DEF8" w14:textId="3ADE95C7" w:rsidR="00DC24FB" w:rsidRPr="0022679C" w:rsidRDefault="00A6469A" w:rsidP="00716E36">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D. Lgs. n. 8 aprile 2013 n. 39, pubblicato nella Gazzetta Ufficiale del 19 aprile 2013 n. 92, attua </w:t>
      </w:r>
      <w:r w:rsidRPr="0022679C">
        <w:rPr>
          <w:rFonts w:asciiTheme="majorHAnsi" w:eastAsia="Palatino Linotype" w:hAnsiTheme="majorHAnsi" w:cstheme="majorHAnsi"/>
          <w:sz w:val="24"/>
          <w:szCs w:val="24"/>
        </w:rPr>
        <w:lastRenderedPageBreak/>
        <w:t xml:space="preserve">la delega contenuta nei commi 49 e 50 dell’art. 1 della Legge 6 novembre 2012 n. 190 in materia di inconferibilità e di incompatibilità di incarichi presso le Pubbliche Amministrazioni e presso gli enti privati di diritto pubblico. </w:t>
      </w:r>
    </w:p>
    <w:p w14:paraId="1CFEB34D" w14:textId="0824C618"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L’attribuzione degli incarichi avviene nel rispetto delle disposizioni in materia di inconferibilità e incompatibilità degli incarichi (D. Lgs. n. 39/2013). </w:t>
      </w:r>
    </w:p>
    <w:p w14:paraId="72315754" w14:textId="1EAED4D9"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In attuazione dell’art. 3 e dell’art. 20 del citato decreto legislativo, nella sezione Amministrazione trasparente del Sito istituzionale sono pubblicate le dichiarazioni sottoscritte dai Responsabili di Settore sulla insussistenza di cause di inconferibilità o incompatibilità all'atto del conferimento dell'incarico.  </w:t>
      </w:r>
    </w:p>
    <w:p w14:paraId="69F020DB" w14:textId="67A24446"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Con delibera n. 328 del 29 marzo 2017, l’ANAC ha emanato un apposito Regolamento sull’esercizio dell’attività di vigilanza in materia di inconferibilità e incompatibilità di incarichi nonché sul rispetto delle regole di comportamento dei pubblici funzionari. </w:t>
      </w:r>
    </w:p>
    <w:p w14:paraId="3C296EC4" w14:textId="5722220C"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Tale attività può essere avviata sia d’ufficio che su segnalazione effettuata dal c.d. whistleblower (dipendente che segnala illeciti) ovvero nel caso di gravi e reiterate violazioni di obblighi di pubblicazione, dal OIV dopo aver esperito tutte le proprie funzioni. </w:t>
      </w:r>
    </w:p>
    <w:p w14:paraId="1C8B1CB0" w14:textId="16FA15D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mancata pubblicazione delle dichiarazioni determina l'insorgere di responsabilità dirigenziale, deve essere oggetto di valutazione e può determinare il maturare di responsabilità amministrativa. Spetta al RPC: </w:t>
      </w:r>
    </w:p>
    <w:p w14:paraId="1FD84A5B"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accertare il rispetto del dettato normativo; </w:t>
      </w:r>
    </w:p>
    <w:p w14:paraId="47A9444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accertare la veridicità delle dichiarazioni; </w:t>
      </w:r>
    </w:p>
    <w:p w14:paraId="43ADFD23"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accertare l'esistenza di cause di inconferibilità e/o incompatibilità; </w:t>
      </w:r>
    </w:p>
    <w:p w14:paraId="04D50647"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dare informazione alle Autorità anticorruzione ed antitrust. </w:t>
      </w:r>
    </w:p>
    <w:p w14:paraId="2F7C8371"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7B5E8E1B" w14:textId="57C80534"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Misura:</w:t>
      </w:r>
      <w:r w:rsidRPr="0022679C">
        <w:rPr>
          <w:rFonts w:asciiTheme="majorHAnsi" w:eastAsia="Palatino Linotype" w:hAnsiTheme="majorHAnsi" w:cstheme="majorHAnsi"/>
          <w:sz w:val="24"/>
          <w:szCs w:val="24"/>
        </w:rPr>
        <w:t xml:space="preserve"> Verificare la veridicità delle dichiarazioni mediante analisi del curriculum vitae e acquisire il certificato del casellario giudiziale e dei carichi pendenti. </w:t>
      </w:r>
    </w:p>
    <w:p w14:paraId="5352BDB0"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757EAA7A" w14:textId="56CB60F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Monitoraggio:</w:t>
      </w:r>
      <w:r w:rsidRPr="0022679C">
        <w:rPr>
          <w:rFonts w:asciiTheme="majorHAnsi" w:eastAsia="Palatino Linotype" w:hAnsiTheme="majorHAnsi" w:cstheme="majorHAnsi"/>
          <w:sz w:val="24"/>
          <w:szCs w:val="24"/>
        </w:rPr>
        <w:t xml:space="preserve"> In fase istruttoria. </w:t>
      </w:r>
    </w:p>
    <w:p w14:paraId="52289DE4"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175EF027" w14:textId="2843F55C"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 xml:space="preserve">Responsabile: </w:t>
      </w:r>
      <w:r w:rsidRPr="0022679C">
        <w:rPr>
          <w:rFonts w:asciiTheme="majorHAnsi" w:eastAsia="Palatino Linotype" w:hAnsiTheme="majorHAnsi" w:cstheme="majorHAnsi"/>
          <w:sz w:val="24"/>
          <w:szCs w:val="24"/>
        </w:rPr>
        <w:t xml:space="preserve">Tutti i Responsabili di Settore. </w:t>
      </w:r>
    </w:p>
    <w:p w14:paraId="3C9F8E06" w14:textId="77777777" w:rsidR="00716E36" w:rsidRPr="0022679C"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189ED3C7"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302FB5F3" w14:textId="7B3E1B0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e) </w:t>
      </w:r>
      <w:r w:rsidRPr="0022679C">
        <w:rPr>
          <w:rFonts w:asciiTheme="majorHAnsi" w:eastAsia="Palatino Linotype" w:hAnsiTheme="majorHAnsi" w:cstheme="majorHAnsi"/>
          <w:b/>
          <w:i/>
          <w:sz w:val="24"/>
          <w:szCs w:val="24"/>
        </w:rPr>
        <w:t xml:space="preserve">Attività successiva alla cessazione del rapporto di lavoro </w:t>
      </w:r>
    </w:p>
    <w:p w14:paraId="31640471" w14:textId="643303FC"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Legge 190/2012 ha integrato l’articolo 53 del D. Lgs. n. 165/2001 con un nuovo comma (16-ter) per contenere il rischio di situazioni di corruzione connesse all'impiego del dipendente pubblico successivamente alla cessazione del rapporto di lavoro. </w:t>
      </w:r>
    </w:p>
    <w:p w14:paraId="650B42BB" w14:textId="27F7C0FE"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L’articolo stabilisce che "</w:t>
      </w:r>
      <w:r w:rsidRPr="0022679C">
        <w:rPr>
          <w:rFonts w:asciiTheme="majorHAnsi" w:eastAsia="Palatino Linotype" w:hAnsiTheme="majorHAnsi" w:cstheme="majorHAnsi"/>
          <w:i/>
          <w:sz w:val="24"/>
          <w:szCs w:val="24"/>
        </w:rPr>
        <w:t>I dipendenti che, negli ultimi tre anni di servizio, hanno esercitato poteri autoritativi o negoziali per conto delle pubbliche amministrazioni (…) non possono svolgere, nei tre anni successivi alla cessazione del rapporto di pubblico impiego, attività lavorativa o professionale presso i soggetti privati destinatari dell'attività della</w:t>
      </w:r>
      <w:r w:rsidR="00716E36">
        <w:rPr>
          <w:rFonts w:asciiTheme="majorHAnsi" w:eastAsia="Palatino Linotype" w:hAnsiTheme="majorHAnsi" w:cstheme="majorHAnsi"/>
          <w:i/>
          <w:sz w:val="24"/>
          <w:szCs w:val="24"/>
        </w:rPr>
        <w:t xml:space="preserve"> </w:t>
      </w:r>
      <w:r w:rsidRPr="0022679C">
        <w:rPr>
          <w:rFonts w:asciiTheme="majorHAnsi" w:eastAsia="Palatino Linotype" w:hAnsiTheme="majorHAnsi" w:cstheme="majorHAnsi"/>
          <w:i/>
          <w:sz w:val="24"/>
          <w:szCs w:val="24"/>
        </w:rPr>
        <w:t>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Pr="0022679C">
        <w:rPr>
          <w:rFonts w:asciiTheme="majorHAnsi" w:eastAsia="Palatino Linotype" w:hAnsiTheme="majorHAnsi" w:cstheme="majorHAnsi"/>
          <w:sz w:val="24"/>
          <w:szCs w:val="24"/>
        </w:rPr>
        <w:t xml:space="preserve">”. </w:t>
      </w:r>
    </w:p>
    <w:p w14:paraId="7C0BFE69" w14:textId="357F4B48"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rischio valutato dalla norma è che durante il periodo di servizio il dipendente possa artatamente precostituirsi delle situazioni lavorative vantaggiose, sfruttare a proprio fine la sua posizione e il suo potere all'interno dell'amministrazione, per poi ottenere contratti di lavoro/collaborazione presso imprese o privati con cui entra in contatto. Si evidenzia inoltre, che il divieto per il dipendente cessato dal servizio di svolgere attività lavorativa o professionale presso i soggetti privati destinatari dei poteri negoziali e autoritativi esercitati è da intendersi riferito a qualsiasi tipo di rapporto di lavori o professionale che possa instaurarsi con i medesimi </w:t>
      </w:r>
      <w:r w:rsidRPr="0022679C">
        <w:rPr>
          <w:rFonts w:asciiTheme="majorHAnsi" w:eastAsia="Palatino Linotype" w:hAnsiTheme="majorHAnsi" w:cstheme="majorHAnsi"/>
          <w:sz w:val="24"/>
          <w:szCs w:val="24"/>
        </w:rPr>
        <w:lastRenderedPageBreak/>
        <w:t xml:space="preserve">soggetti privati, mediante l’assunzione a tempo determinato o indeterminato o l’affidamento di incarico o consulenza da prestare in favore degli stessi. </w:t>
      </w:r>
    </w:p>
    <w:p w14:paraId="732BF35C" w14:textId="473F7D8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disciplina sul divieto di </w:t>
      </w:r>
      <w:r w:rsidRPr="0022679C">
        <w:rPr>
          <w:rFonts w:asciiTheme="majorHAnsi" w:eastAsia="Palatino Linotype" w:hAnsiTheme="majorHAnsi" w:cstheme="majorHAnsi"/>
          <w:i/>
          <w:sz w:val="24"/>
          <w:szCs w:val="24"/>
        </w:rPr>
        <w:t>pantouflage</w:t>
      </w:r>
      <w:r w:rsidRPr="0022679C">
        <w:rPr>
          <w:rFonts w:asciiTheme="majorHAnsi" w:eastAsia="Palatino Linotype" w:hAnsiTheme="majorHAnsi" w:cstheme="majorHAnsi"/>
          <w:sz w:val="24"/>
          <w:szCs w:val="24"/>
        </w:rPr>
        <w:t xml:space="preserve"> si applica innanzitutto ai dipendenti delle</w:t>
      </w:r>
      <w:r w:rsidR="00716E36">
        <w:rPr>
          <w:rFonts w:asciiTheme="majorHAnsi" w:eastAsia="Palatino Linotype" w:hAnsiTheme="majorHAnsi" w:cstheme="majorHAnsi"/>
          <w:sz w:val="24"/>
          <w:szCs w:val="24"/>
        </w:rPr>
        <w:t xml:space="preserve"> </w:t>
      </w:r>
      <w:r w:rsidRPr="0022679C">
        <w:rPr>
          <w:rFonts w:asciiTheme="majorHAnsi" w:eastAsia="Palatino Linotype" w:hAnsiTheme="majorHAnsi" w:cstheme="majorHAnsi"/>
          <w:sz w:val="24"/>
          <w:szCs w:val="24"/>
        </w:rPr>
        <w:t xml:space="preserve">Pubbliche Amministrazioni, individuate all’art. 1, co. 2, del D.Lgs. 165/2001. Si osserva che una limitazione ai soli dipendenti con contratto a tempo indeterminato sarebbe in contrasto con la </w:t>
      </w:r>
      <w:r w:rsidRPr="0022679C">
        <w:rPr>
          <w:rFonts w:asciiTheme="majorHAnsi" w:eastAsia="Palatino Linotype" w:hAnsiTheme="majorHAnsi" w:cstheme="majorHAnsi"/>
          <w:i/>
          <w:sz w:val="24"/>
          <w:szCs w:val="24"/>
        </w:rPr>
        <w:t>ratio</w:t>
      </w:r>
      <w:r w:rsidRPr="0022679C">
        <w:rPr>
          <w:rFonts w:asciiTheme="majorHAnsi" w:eastAsia="Palatino Linotype" w:hAnsiTheme="majorHAnsi" w:cstheme="majorHAnsi"/>
          <w:sz w:val="24"/>
          <w:szCs w:val="24"/>
        </w:rPr>
        <w:t xml:space="preserve"> della norma, volta a evitare condizionamenti nell’esercizio di funzioni pubbliche e sono pertanto da ricomprendersi anche i soggetti legati alla pubblica amministrazione da un rapporto di lavoro a tempo determinato o autonomo (cfr. parere ANAC AG/2 del 4 febbraio 2015). </w:t>
      </w:r>
    </w:p>
    <w:p w14:paraId="7823FBF1" w14:textId="69BF73B1"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Si evidenzia, inoltre, che il divieto per il dipendente cessato dal servizio di svolgere attività lavorativa o professionale presso i soggetti privati destinatari dei poteri negoziali e autoritativi esercitati, è da intendersi riferito a qualsiasi tipo di rapporto di lavoro o professionale che possa instaurarsi con i medesimi soggetti privati, mediante l’assunzione a tempo determinato o indeterminato o l’affidamento di incarico o consulenza da prestare in favore degli stessi. </w:t>
      </w:r>
    </w:p>
    <w:p w14:paraId="17853F92" w14:textId="19FEA584"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Tale linea interpretativa emerge chiaramente dalla disciplina sulle incompatibilità e inconferibilità di incarichi, laddove l’ambito di applicazione del divieto di </w:t>
      </w:r>
      <w:r w:rsidRPr="00716E36">
        <w:rPr>
          <w:rFonts w:asciiTheme="majorHAnsi" w:eastAsia="Palatino Linotype" w:hAnsiTheme="majorHAnsi" w:cstheme="majorHAnsi"/>
          <w:i/>
          <w:iCs/>
          <w:sz w:val="24"/>
          <w:szCs w:val="24"/>
        </w:rPr>
        <w:t>pantouflage</w:t>
      </w:r>
      <w:r w:rsidRPr="0022679C">
        <w:rPr>
          <w:rFonts w:asciiTheme="majorHAnsi" w:eastAsia="Palatino Linotype" w:hAnsiTheme="majorHAnsi" w:cstheme="majorHAnsi"/>
          <w:sz w:val="24"/>
          <w:szCs w:val="24"/>
        </w:rPr>
        <w:t xml:space="preserve"> è stato ulteriormente definito.  L’art. 21 del D. Lgs. 39/2013 ha, infatti, precisato che ai fini dell’applicazione dell’art. 53, co. 16-ter, del D. Lgs. 165/2001, sono considerati dipendenti delle Pubbliche Amministrazioni anche i soggetti titolari di uno degli incarichi considerati nel D. Lgs. 39/2013, ivi compresi i soggetti esterni con i quali l’Amministrazione, l’ente pubblico e l’ente di diritto privato in controllo pubblico stabilisce un rapporto di lavoro, subordinato o autonomo. </w:t>
      </w:r>
    </w:p>
    <w:p w14:paraId="6DE4709E" w14:textId="4DA735B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Si è inteso così estendere la sfera dei soggetti assimilabili ai dipendenti pubblici, rafforzando la finalità dell’istituto in argomento quale presidio del rischio corruttivo. Il riferimento ai dipendenti pubblici va, pertanto, inteso nel senso di ricomprendere anche i titolari di incarichi indicati all’art. 21 del D. Lgs.  39/2013. </w:t>
      </w:r>
    </w:p>
    <w:p w14:paraId="61C2AB0B"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6FC16085" w14:textId="6F77CB64"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Ai fini dell’applicazione delle suddette disposizioni si impartiscono le seguenti direttive: </w:t>
      </w:r>
    </w:p>
    <w:p w14:paraId="68A0C9B9" w14:textId="15C37FF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nei contratti individuali di lavoro del personale assunto è inserita la clausola che prevede il divieto di prestare attività lavorativa (a titolo di lavoro subordinato o lavoro autonomo) per i tre anni successivi alla cessazione del rapporto nei confronti dei destinatari di provvedimenti</w:t>
      </w:r>
      <w:r w:rsidR="00716E36">
        <w:rPr>
          <w:rFonts w:asciiTheme="majorHAnsi" w:eastAsia="Palatino Linotype" w:hAnsiTheme="majorHAnsi" w:cstheme="majorHAnsi"/>
          <w:sz w:val="24"/>
          <w:szCs w:val="24"/>
        </w:rPr>
        <w:t xml:space="preserve"> </w:t>
      </w:r>
      <w:r w:rsidRPr="0022679C">
        <w:rPr>
          <w:rFonts w:asciiTheme="majorHAnsi" w:eastAsia="Palatino Linotype" w:hAnsiTheme="majorHAnsi" w:cstheme="majorHAnsi"/>
          <w:sz w:val="24"/>
          <w:szCs w:val="24"/>
        </w:rPr>
        <w:t xml:space="preserve">adottati o di contratti conclusi con l’apporto decisionale del dipendente; </w:t>
      </w:r>
    </w:p>
    <w:p w14:paraId="7B679E56" w14:textId="1C4D705A"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nei bandi di gara o negli atti prodromici agli affidamenti, anche mediante procedura negoziata o in economia, è inserita la condizione soggettiva di non aver concluso contratti di lavoro </w:t>
      </w:r>
      <w:r w:rsidR="00716E36">
        <w:rPr>
          <w:rFonts w:asciiTheme="majorHAnsi" w:eastAsia="Palatino Linotype" w:hAnsiTheme="majorHAnsi" w:cstheme="majorHAnsi"/>
          <w:sz w:val="24"/>
          <w:szCs w:val="24"/>
        </w:rPr>
        <w:t>s</w:t>
      </w:r>
      <w:r w:rsidRPr="0022679C">
        <w:rPr>
          <w:rFonts w:asciiTheme="majorHAnsi" w:eastAsia="Palatino Linotype" w:hAnsiTheme="majorHAnsi" w:cstheme="majorHAnsi"/>
          <w:sz w:val="24"/>
          <w:szCs w:val="24"/>
        </w:rPr>
        <w:t xml:space="preserve">ubordinato e autonomo e comunque di non aver attribuito incarichi ad ex dipendenti che hanno esercitato poteri autoritari o negoziali per conto della pubblica amministrazione provinciale nei loro confronti per il triennio successivo alla cessazione del rapporto; </w:t>
      </w:r>
    </w:p>
    <w:p w14:paraId="51324B2B" w14:textId="61DBEBDC"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verrà disposta l’esclusione dalla procedura di affidamento nei confronti dei soggetti per i quali sia emersa la situazione di cui al punto precedente; </w:t>
      </w:r>
    </w:p>
    <w:p w14:paraId="117A8944" w14:textId="3D3FA65B"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i Responsabili di Settore, negli schemi di contratto da sottoscrivere con gli appaltatori, devono inserire il seguente testo:</w:t>
      </w:r>
      <w:r w:rsidR="00716E36">
        <w:rPr>
          <w:rFonts w:asciiTheme="majorHAnsi" w:eastAsia="Palatino Linotype" w:hAnsiTheme="majorHAnsi" w:cstheme="majorHAnsi"/>
          <w:sz w:val="24"/>
          <w:szCs w:val="24"/>
        </w:rPr>
        <w:t xml:space="preserve"> “</w:t>
      </w:r>
      <w:r w:rsidRPr="0022679C">
        <w:rPr>
          <w:rFonts w:asciiTheme="majorHAnsi" w:eastAsia="Palatino Linotype" w:hAnsiTheme="majorHAnsi" w:cstheme="majorHAnsi"/>
          <w:sz w:val="24"/>
          <w:szCs w:val="24"/>
        </w:rPr>
        <w:t xml:space="preserve">Ai sensi dell’art. 53 comma 16 ter del D. Lgs. n. 165 del 2001, la Ditta aggiudicataria, sottoscrivendo il presente contratto, attesta di non aver concluso contratti di lavoro subordinato o autonomo e comunque di non aver conferito incarichi ad ex dipendenti che hanno esercitato poteri autoritativi o negoziali per conto dell’amministrazione provinciale nei loro confronti per il triennio successivo alla cessazione del rapporto”. </w:t>
      </w:r>
    </w:p>
    <w:p w14:paraId="1A5FE88F"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24F0A49C" w14:textId="1AB48506"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Monitoraggio:</w:t>
      </w:r>
      <w:r w:rsidRPr="0022679C">
        <w:rPr>
          <w:rFonts w:asciiTheme="majorHAnsi" w:eastAsia="Palatino Linotype" w:hAnsiTheme="majorHAnsi" w:cstheme="majorHAnsi"/>
          <w:sz w:val="24"/>
          <w:szCs w:val="24"/>
        </w:rPr>
        <w:t xml:space="preserve"> verifica a cura dei Responsabili di Settore. </w:t>
      </w:r>
    </w:p>
    <w:p w14:paraId="27063DD8"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3EE7C346" w14:textId="6C698452"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Responsabile della misura:</w:t>
      </w:r>
      <w:r w:rsidRPr="0022679C">
        <w:rPr>
          <w:rFonts w:asciiTheme="majorHAnsi" w:eastAsia="Palatino Linotype" w:hAnsiTheme="majorHAnsi" w:cstheme="majorHAnsi"/>
          <w:sz w:val="24"/>
          <w:szCs w:val="24"/>
        </w:rPr>
        <w:t xml:space="preserve"> tutti i Responsabili di Settore. </w:t>
      </w:r>
    </w:p>
    <w:p w14:paraId="4DC8F098"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67F0C4A3" w14:textId="5127DF2C"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01A984CA" w14:textId="5F57D8C7" w:rsidR="00A6469A"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48242841" w14:textId="77777777" w:rsidR="00A6469A"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5C3B1CA9"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f) </w:t>
      </w:r>
      <w:r w:rsidRPr="0022679C">
        <w:rPr>
          <w:rFonts w:asciiTheme="majorHAnsi" w:eastAsia="Palatino Linotype" w:hAnsiTheme="majorHAnsi" w:cstheme="majorHAnsi"/>
          <w:b/>
          <w:i/>
          <w:sz w:val="24"/>
          <w:szCs w:val="24"/>
        </w:rPr>
        <w:t xml:space="preserve">Monitoraggio dei tempi procedimentali </w:t>
      </w:r>
    </w:p>
    <w:p w14:paraId="62C75D21" w14:textId="418B442F"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Ai sensi dell’art. 1, commi 9 e 28, della Legge 6.11.2012, n. 190 è effettuato da ogni Responsabile di  Settore il prescritto monitoraggio dei termini di conclusione dei procedimenti amministrativi di spettanza, in conformità alla norma citata “</w:t>
      </w:r>
      <w:r w:rsidRPr="0022679C">
        <w:rPr>
          <w:rFonts w:asciiTheme="majorHAnsi" w:eastAsia="Palatino Linotype" w:hAnsiTheme="majorHAnsi" w:cstheme="majorHAnsi"/>
          <w:i/>
          <w:sz w:val="24"/>
          <w:szCs w:val="24"/>
        </w:rPr>
        <w:t xml:space="preserve">monitoraggio periodico del rispetto dei tempi procedimentali attraverso  la tempestiva eliminazione delle anomalie. I risultati del monitoraggio sono consultabili nel sito web istituzionale di ciascuna amministrazione”, </w:t>
      </w:r>
      <w:r w:rsidRPr="0022679C">
        <w:rPr>
          <w:rFonts w:asciiTheme="majorHAnsi" w:eastAsia="Palatino Linotype" w:hAnsiTheme="majorHAnsi" w:cstheme="majorHAnsi"/>
          <w:sz w:val="24"/>
          <w:szCs w:val="24"/>
        </w:rPr>
        <w:t xml:space="preserve">tenendo presente i tempi </w:t>
      </w:r>
      <w:r w:rsidRPr="0022679C">
        <w:rPr>
          <w:rFonts w:asciiTheme="majorHAnsi" w:eastAsia="Palatino Linotype" w:hAnsiTheme="majorHAnsi" w:cstheme="majorHAnsi"/>
          <w:i/>
          <w:sz w:val="24"/>
          <w:szCs w:val="24"/>
        </w:rPr>
        <w:t xml:space="preserve">ex lege </w:t>
      </w:r>
      <w:r w:rsidRPr="0022679C">
        <w:rPr>
          <w:rFonts w:asciiTheme="majorHAnsi" w:eastAsia="Palatino Linotype" w:hAnsiTheme="majorHAnsi" w:cstheme="majorHAnsi"/>
          <w:sz w:val="24"/>
          <w:szCs w:val="24"/>
        </w:rPr>
        <w:t xml:space="preserve">ed i tempi determinati dall’Ente. Attraverso il  monitoraggio possono emergere eventuali omissioni o ritardi che possono essere sintomo di fenomeni  corruttivi. Il monitoraggio avviene mediante: </w:t>
      </w:r>
    </w:p>
    <w:p w14:paraId="154C9DBF"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verifica del numero di procedimenti che hanno superato i tempi previsti; </w:t>
      </w:r>
    </w:p>
    <w:p w14:paraId="374C6B4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verifica degli eventuali illeciti connessi ai ritardi; </w:t>
      </w:r>
    </w:p>
    <w:p w14:paraId="09BD2452"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attestazione dei controlli da parte dei Responsabili di Settore volti a evitare ritardi; </w:t>
      </w:r>
    </w:p>
    <w:p w14:paraId="38270BDF"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presentazione della relazione di cui all’art. 2 comma 9 quater della L. n. 241/1990 da parte del  titolare del potere sostitutivo, individuato ai sensi comma 9 bis del sopra richiamato art. 2, in cui  vengono indicati i procedimenti per i quali non sono stati rispettati i termini previsti dalla legge  e dai regolamenti per la conclusione dei procedimenti. </w:t>
      </w:r>
    </w:p>
    <w:p w14:paraId="4CFF38B0"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risultato del monitoraggio è inserito ad opera di ciascun Responsabile di Settore e previa verifica del  RPC sul sito web istituzionale del Comune. </w:t>
      </w:r>
    </w:p>
    <w:p w14:paraId="762E8722"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 Responsabili di Settore, con particolare riguardo alle attività a rischio di corruzione, informano  tempestivamente il RPC in merito al mancato rispetto dei  tempi procedimentali e a qualsiasi altra anomalia accertata. Conseguentemente adottano le azioni  necessarie per eliminare tali anomalie. </w:t>
      </w:r>
    </w:p>
    <w:p w14:paraId="51FF9CBE"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72032354" w14:textId="4DDDD34A"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Monitoraggio:</w:t>
      </w:r>
      <w:r w:rsidRPr="0022679C">
        <w:rPr>
          <w:rFonts w:asciiTheme="majorHAnsi" w:eastAsia="Palatino Linotype" w:hAnsiTheme="majorHAnsi" w:cstheme="majorHAnsi"/>
          <w:sz w:val="24"/>
          <w:szCs w:val="24"/>
        </w:rPr>
        <w:t xml:space="preserve"> Annuale in occasione della presentazione alla Giunta Comunale della relazione sul  rispetto dei tempi procedimentali di cui all’art. 2 comma 9 quater della L. n. 241/1990. </w:t>
      </w:r>
    </w:p>
    <w:p w14:paraId="16FAF8CE"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7D6F30A4" w14:textId="562CFD3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Responsabile della misura:</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RPCT e Responsabili di Settore.</w:t>
      </w:r>
    </w:p>
    <w:p w14:paraId="4FC2F974"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3FA99DCA"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2DAA0FC5" w14:textId="3527B7CD"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g) </w:t>
      </w:r>
      <w:r w:rsidRPr="0022679C">
        <w:rPr>
          <w:rFonts w:asciiTheme="majorHAnsi" w:eastAsia="Palatino Linotype" w:hAnsiTheme="majorHAnsi" w:cstheme="majorHAnsi"/>
          <w:b/>
          <w:i/>
          <w:sz w:val="24"/>
          <w:szCs w:val="24"/>
        </w:rPr>
        <w:t xml:space="preserve">Formazione di Commissioni, assegnazione Uffici, conferimento incarichi in caso di  condanna per delitti contro la P.A.  </w:t>
      </w:r>
    </w:p>
    <w:p w14:paraId="702BCCB5"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Ai sensi dell’art. 35-bis del D. Lgs. 30.03.2001 n. 165, introdotto dall’art. 46 della L. 6.11.2012 n. 190,  sono adottate specifiche misure in materia di mansioni ed attività precluse al personale dipendente. In  particolare, coloro che sono stati condannati, anche con sentenza non passata in giudicato, per i reati  previsti nel capo I del titolo II del libro secondo del codice penale: </w:t>
      </w:r>
    </w:p>
    <w:p w14:paraId="5B593B48"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non possono fare parte, anche con compiti di segreteria, di commissioni per l’accesso o la  selezione a pubblici impieghi; </w:t>
      </w:r>
    </w:p>
    <w:p w14:paraId="094418FE"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non possono essere assegnati,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 </w:t>
      </w:r>
    </w:p>
    <w:p w14:paraId="147F87F7"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non possono fare parte delle commissioni per la scelta del contraente per l’affidamento di  lavori, forniture e servizi, per la concessione o l’erogazione di sovvenzioni, contributi, sussidi,  ausili finanziari, nonché per l’attribuzione di vantaggi economici di qualunque genere. </w:t>
      </w:r>
    </w:p>
    <w:p w14:paraId="7B8FD157"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dipendente, a tempo indeterminato o tempo determinato, o coloro che, anche se non  dipendenti del Comune, vengono individuati quali componenti di commissione, sono tenuti a  comunicare al Responsabile di Settore l’eventuale condanna anche con sentenza non passata in  giudicato, per reati previsti nel capo I del titolo II del libro secondo del codice penale. </w:t>
      </w:r>
    </w:p>
    <w:p w14:paraId="2E4DDA81"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575EE2CD" w14:textId="5BF05731"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lastRenderedPageBreak/>
        <w:t>Monitoraggio:</w:t>
      </w:r>
      <w:r w:rsidRPr="0022679C">
        <w:rPr>
          <w:rFonts w:asciiTheme="majorHAnsi" w:eastAsia="Palatino Linotype" w:hAnsiTheme="majorHAnsi" w:cstheme="majorHAnsi"/>
          <w:sz w:val="24"/>
          <w:szCs w:val="24"/>
        </w:rPr>
        <w:t xml:space="preserve"> Prima della nomina della commissione.  </w:t>
      </w:r>
    </w:p>
    <w:p w14:paraId="343DD36A"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u w:val="single"/>
        </w:rPr>
      </w:pPr>
    </w:p>
    <w:p w14:paraId="6E2FB766" w14:textId="7BC44952"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Responsabile della misura:</w:t>
      </w:r>
      <w:r w:rsidRPr="0022679C">
        <w:rPr>
          <w:rFonts w:asciiTheme="majorHAnsi" w:eastAsia="Palatino Linotype" w:hAnsiTheme="majorHAnsi" w:cstheme="majorHAnsi"/>
          <w:sz w:val="24"/>
          <w:szCs w:val="24"/>
        </w:rPr>
        <w:t xml:space="preserve"> I Responsabili di Settore. </w:t>
      </w:r>
    </w:p>
    <w:p w14:paraId="39325B96" w14:textId="77777777" w:rsidR="00716E36" w:rsidRPr="0022679C"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379BB798"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6BDF1FA7"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h) </w:t>
      </w:r>
      <w:r w:rsidRPr="0022679C">
        <w:rPr>
          <w:rFonts w:asciiTheme="majorHAnsi" w:eastAsia="Palatino Linotype" w:hAnsiTheme="majorHAnsi" w:cstheme="majorHAnsi"/>
          <w:b/>
          <w:i/>
          <w:sz w:val="24"/>
          <w:szCs w:val="24"/>
        </w:rPr>
        <w:t xml:space="preserve">Codice di comportamento </w:t>
      </w:r>
    </w:p>
    <w:p w14:paraId="69CE36E9" w14:textId="1978E8EC"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Nel pieno rispetto dell’art. 54, co. 3, del D. Lgs. n.165/2001 il Comune, con </w:t>
      </w:r>
      <w:r>
        <w:rPr>
          <w:rFonts w:asciiTheme="majorHAnsi" w:eastAsia="Palatino Linotype" w:hAnsiTheme="majorHAnsi" w:cstheme="majorHAnsi"/>
          <w:sz w:val="24"/>
          <w:szCs w:val="24"/>
        </w:rPr>
        <w:t xml:space="preserve"> Deliberazione di Giunta comunale n. 10 del 23/01/2024,</w:t>
      </w:r>
      <w:r w:rsidRPr="0022679C">
        <w:rPr>
          <w:rFonts w:asciiTheme="majorHAnsi" w:eastAsia="Palatino Linotype" w:hAnsiTheme="majorHAnsi" w:cstheme="majorHAnsi"/>
          <w:sz w:val="24"/>
          <w:szCs w:val="24"/>
        </w:rPr>
        <w:t xml:space="preserve"> ha approvato il Codice di comportamento dell’ente. </w:t>
      </w:r>
    </w:p>
    <w:p w14:paraId="271D828E"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Codice è stato pubblicato sul sito dell’Amministrazione e nella sezione Amministrazione Trasparente  e viene consegnato al dipendente al momento dell’atto di assunzione. </w:t>
      </w:r>
    </w:p>
    <w:p w14:paraId="3226495E"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Dall’analisi del codice nazionale e da quello approvato dall’Amministrazione, emerge che tutti i  dipendenti devono collaborare alla redazione del Piano Anticorruzione. La violazione da parte dei  dipendenti delle misure di prevenzione previste nel PTPCT è fonte di responsabilità disciplinare (L.  190/2012, art. 1, co. 14). Tale previsione è confermata all’art. 1, co. 44, della L. 190/2012, secondo cui la  violazione dei doveri contenuti nel Codice di comportamento, compresi quelli relativi all’attuazione del  PTPCT, è fonte di responsabilità disciplinare. </w:t>
      </w:r>
    </w:p>
    <w:p w14:paraId="01D9757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RPC e l’Ufficio procedimenti disciplinari svolgono azioni di verifica in  sede di azione disciplinare sul livello di attuazione del codice, sulla vigilanza da parte dei Responsabili di  Settore/ Posizioni Organizzative del rispetto delle norme in esso contenute da parte del personale. </w:t>
      </w:r>
    </w:p>
    <w:p w14:paraId="0E7B1ECF" w14:textId="77777777"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Per il triennio contemplato nel presente Piano non si prevede di aggiornare il codice di comportamento.</w:t>
      </w:r>
    </w:p>
    <w:p w14:paraId="4796064E"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0A0E3860" w14:textId="77777777" w:rsidR="00716E36" w:rsidRPr="0022679C"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2459ABDE"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i) </w:t>
      </w:r>
      <w:r w:rsidRPr="0022679C">
        <w:rPr>
          <w:rFonts w:asciiTheme="majorHAnsi" w:eastAsia="Palatino Linotype" w:hAnsiTheme="majorHAnsi" w:cstheme="majorHAnsi"/>
          <w:b/>
          <w:i/>
          <w:sz w:val="24"/>
          <w:szCs w:val="24"/>
        </w:rPr>
        <w:t xml:space="preserve">Rotazione del Personale </w:t>
      </w:r>
    </w:p>
    <w:p w14:paraId="1F2324C3"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Comune può essere classificato come amministrazione di piccole  dimensioni e in cui non sempre è possibile realizzare la misura della rotazione. D’altronde, la  consistenza del personale in servizio difficilmente permette l’adozione di tale misura anche in  considerazione della necessità di garantire l’efficienza e la funzionalità degli uffici e non pregiudicare il  buon esito dell’azione amministrativa. La rotazione, infatti, può non applicarsi: </w:t>
      </w:r>
    </w:p>
    <w:p w14:paraId="224620C3"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per le figure infungibili cioè per quei profili professionali per i quali è previsto il possesso di  diplomi o lauree specialistiche possedute da una sola unità lavorativa, ovvero per i quali sia  richiesta una specifica qualificazione professionale non altrimenti reperibile nella struttura  organizzativa dell’ente; </w:t>
      </w:r>
    </w:p>
    <w:p w14:paraId="77639D19"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qualora esista l’elevato rischio di compromettere il buon andamento e la continuità dell’azione  amministrativa, la dispersione professionale per quelle figure che hanno conseguito conoscenze  approfondite o specialistiche ed estese e il cui allontanamento e la cui rotazione potrebbe  compromettere la funzionalità dei servizi. </w:t>
      </w:r>
    </w:p>
    <w:p w14:paraId="438EB42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Anche l’Osservatorio sulla finanza e la contabilità degli Enti Locali, il 26 ottobre 2018, con l’atto di  orientamento reso ex art. 154, co. 2, del D.Lgs 267 del 2000 ha statuito quanto segue:</w:t>
      </w:r>
    </w:p>
    <w:p w14:paraId="54A12D2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i/>
          <w:sz w:val="24"/>
          <w:szCs w:val="24"/>
        </w:rPr>
      </w:pPr>
      <w:r w:rsidRPr="0022679C">
        <w:rPr>
          <w:rFonts w:asciiTheme="majorHAnsi" w:eastAsia="Palatino Linotype" w:hAnsiTheme="majorHAnsi" w:cstheme="majorHAnsi"/>
          <w:sz w:val="24"/>
          <w:szCs w:val="24"/>
        </w:rPr>
        <w:t xml:space="preserve"> “</w:t>
      </w:r>
      <w:r w:rsidRPr="0022679C">
        <w:rPr>
          <w:rFonts w:asciiTheme="majorHAnsi" w:eastAsia="Palatino Linotype" w:hAnsiTheme="majorHAnsi" w:cstheme="majorHAnsi"/>
          <w:i/>
          <w:sz w:val="24"/>
          <w:szCs w:val="24"/>
        </w:rPr>
        <w:t xml:space="preserve">La rotazione  del responsabile del servizio finanziario - figura non esclusa dall’applicazione di tale misura ai sensi e per le finalità della  legge 190/2012 e delle correlate disposizioni regolative di attuazione - conformemente alle istruzioni concernenti i criteri  applicativi di cui alle delibere n. 13 del 4 febbraio 2015 per l’attuazione dell’art. 1 co 60 e 61, della legge 190/2012 e  n. 831 del 3 agosto 2016 dell'Autorità Nazionale Anticorruzione, deve tenere conto di due condizioni delle quali deve  darsi motivazione nell’atto di disposizione della rotazione: A) l’insussistenza di vincoli “oggettivi” ovvero che la rotazione non comprometta il buon andamento e la continuità  dell’azione amministrativa e cioè che non siano in alcun modo compromesse le funzioni di conservazione e salvaguardia  degli equilibri di bilancio. Tale garanzia non dovrà esaurirsi in una mera clausola di stile motivazionale ma dovrà  indicare le concrete misure che la inverano tra le </w:t>
      </w:r>
      <w:r w:rsidRPr="0022679C">
        <w:rPr>
          <w:rFonts w:asciiTheme="majorHAnsi" w:eastAsia="Palatino Linotype" w:hAnsiTheme="majorHAnsi" w:cstheme="majorHAnsi"/>
          <w:i/>
          <w:sz w:val="24"/>
          <w:szCs w:val="24"/>
        </w:rPr>
        <w:lastRenderedPageBreak/>
        <w:t xml:space="preserve">quali, di primaria importanza, la sussistenza reale delle competenze  professionali del nuovo responsabile necessarie per lo svolgimento delle attribuzioni del servizio finanziario. B) considerata la sostanziale infungibilità della posizione del responsabile finanziario e fatte salve conclamate situazioni di  incompatibilità, l’Amministrazione potrà soprassedere dall’attuare tale misura di prevenzione della corruzione </w:t>
      </w:r>
      <w:r w:rsidRPr="0022679C">
        <w:rPr>
          <w:rFonts w:asciiTheme="majorHAnsi" w:eastAsia="Palatino Linotype" w:hAnsiTheme="majorHAnsi" w:cstheme="majorHAnsi"/>
          <w:b/>
          <w:i/>
          <w:sz w:val="24"/>
          <w:szCs w:val="24"/>
        </w:rPr>
        <w:t>qualora  non sia in grado - e fino a quando non sarà in grado - di garantire il conferimento dell’incarico  a soggetti dotati delle competenze necessarie per assicurare la continuità dell’azione  amministrativa</w:t>
      </w:r>
      <w:r w:rsidRPr="0022679C">
        <w:rPr>
          <w:rFonts w:asciiTheme="majorHAnsi" w:eastAsia="Palatino Linotype" w:hAnsiTheme="majorHAnsi" w:cstheme="majorHAnsi"/>
          <w:i/>
          <w:sz w:val="24"/>
          <w:szCs w:val="24"/>
        </w:rPr>
        <w:t xml:space="preserve">. Ai fini dell’eventuale adozione del provvedimento di revoca del responsabile del servizio finanziario l’Amministrazione  potrà prevedere un procedimento semplificato disciplinato nell’ambito del regolamento di contabilità di cui all’art. 152 Tuel. Al fine di garantire la massima oggettività nella rilevazione, valutazione e motivazione delle ragioni del  provvedimento, la revoca sindacale dell’incarico di responsabile finanziario, attesa l’assoluta prevalenza delle sue  attribuzioni alla tutela di profili ordinamentali, potrà essere limitata ai casi di gravi e riscontrate irregolarità contabili e  subordinata all’acquisizione di un parere obbligatorio e vincolante del Consiglio dell’ente, da comunicare entro 30 giorni  dall’adozione alla competente Sezione regionale di controllo della Corte dei conti. </w:t>
      </w:r>
    </w:p>
    <w:p w14:paraId="464D2E58"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Comune non è in grado di garantire il conferimento dell’incarico ad altri soggetti  dotati delle competenze necessarie per assicurare la continuità dell’azione amministrativa. </w:t>
      </w:r>
    </w:p>
    <w:p w14:paraId="19F7BA44"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In alternativa alla rotazione si è garantita una maggiore compartecipazione del personale alle  attività di competenza: quale misura volta a scongiurare il verificarsi dell’evento  corruttivo, si è affidata, laddove possibile, la gestione di un medesimo procedimento maggiormente esposto a rischio da parte  di più dipendenti. </w:t>
      </w:r>
    </w:p>
    <w:p w14:paraId="4FB18371" w14:textId="77777777"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rotazione verrà disposta comunque e immediatamente nelle ipotesi di immotivata violazione e  mancato rispetto del presente Piano. </w:t>
      </w:r>
    </w:p>
    <w:p w14:paraId="25A8E504"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08FF2259" w14:textId="77777777" w:rsidR="00716E36" w:rsidRPr="0022679C"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680C5D7D"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sz w:val="24"/>
          <w:szCs w:val="24"/>
        </w:rPr>
        <w:t xml:space="preserve">j) </w:t>
      </w:r>
      <w:r w:rsidRPr="0022679C">
        <w:rPr>
          <w:rFonts w:asciiTheme="majorHAnsi" w:eastAsia="Palatino Linotype" w:hAnsiTheme="majorHAnsi" w:cstheme="majorHAnsi"/>
          <w:b/>
          <w:i/>
          <w:sz w:val="24"/>
          <w:szCs w:val="24"/>
        </w:rPr>
        <w:t xml:space="preserve">Segnalazioni di condotte illecite </w:t>
      </w:r>
    </w:p>
    <w:p w14:paraId="3D6B83A4" w14:textId="05D71582"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L’Anac con la delibera n. 1033 del 30 ottobre 2018 ha emanato il “Regolamento sull’esercizio del  potere sanzionatorio in materia di tutela degli autori di segnalazioni di reati o irregolarità di cui siano venuti a conoscenza nell’ambito di un rapporto di lavoro di cui all’art. 54-bis del D. Lgs. 165/2001”  (c.d. </w:t>
      </w:r>
      <w:r w:rsidRPr="0022679C">
        <w:rPr>
          <w:rFonts w:asciiTheme="majorHAnsi" w:eastAsia="Palatino Linotype" w:hAnsiTheme="majorHAnsi" w:cstheme="majorHAnsi"/>
          <w:i/>
          <w:sz w:val="24"/>
          <w:szCs w:val="24"/>
        </w:rPr>
        <w:t>whistleblowing</w:t>
      </w:r>
      <w:r w:rsidRPr="0022679C">
        <w:rPr>
          <w:rFonts w:asciiTheme="majorHAnsi" w:eastAsia="Palatino Linotype" w:hAnsiTheme="majorHAnsi" w:cstheme="majorHAnsi"/>
          <w:sz w:val="24"/>
          <w:szCs w:val="24"/>
        </w:rPr>
        <w:t>) ed è entrato in vigore a partire dal 4 dicembre 2018. Detto Regolamento è sta</w:t>
      </w:r>
      <w:r w:rsidR="003F23CE">
        <w:rPr>
          <w:rFonts w:asciiTheme="majorHAnsi" w:eastAsia="Palatino Linotype" w:hAnsiTheme="majorHAnsi" w:cstheme="majorHAnsi"/>
          <w:sz w:val="24"/>
          <w:szCs w:val="24"/>
        </w:rPr>
        <w:t>t</w:t>
      </w:r>
      <w:r w:rsidRPr="0022679C">
        <w:rPr>
          <w:rFonts w:asciiTheme="majorHAnsi" w:eastAsia="Palatino Linotype" w:hAnsiTheme="majorHAnsi" w:cstheme="majorHAnsi"/>
          <w:sz w:val="24"/>
          <w:szCs w:val="24"/>
        </w:rPr>
        <w:t xml:space="preserve">o  modificato con delibera Anac n. 312 del 12.04.2019. </w:t>
      </w:r>
    </w:p>
    <w:p w14:paraId="60A5EE63"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Si tratta del documento che disciplina il potere sanzionatorio dell’Autorità nei confronti dei soggetti che hanno in  qualsiasi modo discriminato i “</w:t>
      </w:r>
      <w:r w:rsidRPr="0022679C">
        <w:rPr>
          <w:rFonts w:asciiTheme="majorHAnsi" w:eastAsia="Palatino Linotype" w:hAnsiTheme="majorHAnsi" w:cstheme="majorHAnsi"/>
          <w:i/>
          <w:sz w:val="24"/>
          <w:szCs w:val="24"/>
        </w:rPr>
        <w:t>whistleblowers</w:t>
      </w:r>
      <w:r w:rsidRPr="0022679C">
        <w:rPr>
          <w:rFonts w:asciiTheme="majorHAnsi" w:eastAsia="Palatino Linotype" w:hAnsiTheme="majorHAnsi" w:cstheme="majorHAnsi"/>
          <w:sz w:val="24"/>
          <w:szCs w:val="24"/>
        </w:rPr>
        <w:t xml:space="preserve">”, ossia coloro che hanno segnalato delle irregolarità o  reati all’interno di un’Amministrazione. </w:t>
      </w:r>
    </w:p>
    <w:p w14:paraId="58B73490"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Secondo l’art. 54 bis del D. Lgs 165/2001, il pubblico dipendente che, nell’interesse dell’integrità della  Pubblica Amministrazione, segnala o denuncia condotte illecite di cui è venuto a conoscenza in ragione  del proprio rapporto di lavoro </w:t>
      </w:r>
      <w:r w:rsidRPr="0022679C">
        <w:rPr>
          <w:rFonts w:asciiTheme="majorHAnsi" w:eastAsia="Palatino Linotype" w:hAnsiTheme="majorHAnsi" w:cstheme="majorHAnsi"/>
          <w:b/>
          <w:sz w:val="24"/>
          <w:szCs w:val="24"/>
        </w:rPr>
        <w:t xml:space="preserve">non può </w:t>
      </w:r>
      <w:r w:rsidRPr="0022679C">
        <w:rPr>
          <w:rFonts w:asciiTheme="majorHAnsi" w:eastAsia="Palatino Linotype" w:hAnsiTheme="majorHAnsi" w:cstheme="majorHAnsi"/>
          <w:sz w:val="24"/>
          <w:szCs w:val="24"/>
        </w:rPr>
        <w:t xml:space="preserve">essere sanzionato, demansionato, licenziato, trasferito, o  sottoposto ad altra misura organizzativa avente effetti negativi, diretti o indiretti, sulle condizioni di  lavoro determinata dalla segnalazione. </w:t>
      </w:r>
    </w:p>
    <w:p w14:paraId="07686809"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Regolamento precisa che sono «misure discriminatorie», tutte le misure individuate all’art. 54-bis, comma 1, primo periodo, adottate in conseguenza della segnalazione di reati o irregolarità di cui allo  stesso comma 1, aventi effetti negativi, diretti o indiretti, sulle condizioni di lavoro del segnalante come  definito al comma 2, dell’art. 54-bis. </w:t>
      </w:r>
    </w:p>
    <w:p w14:paraId="4B6BCE14"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Sempre sulla base dell’art. 54 bis, l’ANAC in caso di misure discriminatorie: </w:t>
      </w:r>
    </w:p>
    <w:p w14:paraId="01CDA093"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applica al responsabile che ha adottato tale misura una sanzione amministrativa pecuniaria; </w:t>
      </w:r>
    </w:p>
    <w:p w14:paraId="4895C992"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qualora venga accertata l’assenza di procedure per l’inoltro e la gestione delle segnalazioni  ovvero l’adozione di procedure non conformi a quelle di cui al comma 5, l’ANAC applica al  responsabile una sanzione amministrativa pecuniaria; </w:t>
      </w:r>
    </w:p>
    <w:p w14:paraId="3562B94A"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qualora venga accertato il mancato svolgimento da parte del responsabile di attività di verifica </w:t>
      </w:r>
      <w:r w:rsidRPr="0022679C">
        <w:rPr>
          <w:rFonts w:asciiTheme="majorHAnsi" w:eastAsia="Palatino Linotype" w:hAnsiTheme="majorHAnsi" w:cstheme="majorHAnsi"/>
          <w:sz w:val="24"/>
          <w:szCs w:val="24"/>
        </w:rPr>
        <w:lastRenderedPageBreak/>
        <w:t xml:space="preserve">e  analisi delle segnalazioni ricevute, si applica al responsabile una sanzione amministrativa pecuniaria. </w:t>
      </w:r>
    </w:p>
    <w:p w14:paraId="276B0EC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In ogni caso l’ANAC determina l’entità della sanzione tenuto conto delle dimensioni  dell’Amministrazione o dell’ente cui si riferisce la segnalazione. </w:t>
      </w:r>
    </w:p>
    <w:p w14:paraId="51236374"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Sono comunque accordate al </w:t>
      </w:r>
      <w:r w:rsidRPr="0022679C">
        <w:rPr>
          <w:rFonts w:asciiTheme="majorHAnsi" w:eastAsia="Palatino Linotype" w:hAnsiTheme="majorHAnsi" w:cstheme="majorHAnsi"/>
          <w:i/>
          <w:sz w:val="24"/>
          <w:szCs w:val="24"/>
        </w:rPr>
        <w:t xml:space="preserve">whistleblower </w:t>
      </w:r>
      <w:r w:rsidRPr="0022679C">
        <w:rPr>
          <w:rFonts w:asciiTheme="majorHAnsi" w:eastAsia="Palatino Linotype" w:hAnsiTheme="majorHAnsi" w:cstheme="majorHAnsi"/>
          <w:sz w:val="24"/>
          <w:szCs w:val="24"/>
        </w:rPr>
        <w:t>le seguenti misure di tutela:</w:t>
      </w:r>
    </w:p>
    <w:p w14:paraId="55AB2D95"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la tutela dell'anonimato; </w:t>
      </w:r>
    </w:p>
    <w:p w14:paraId="2300A22B"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i/>
          <w:sz w:val="24"/>
          <w:szCs w:val="24"/>
        </w:rPr>
      </w:pPr>
      <w:r w:rsidRPr="0022679C">
        <w:rPr>
          <w:rFonts w:asciiTheme="majorHAnsi" w:eastAsia="Palatino Linotype" w:hAnsiTheme="majorHAnsi" w:cstheme="majorHAnsi"/>
          <w:sz w:val="24"/>
          <w:szCs w:val="24"/>
        </w:rPr>
        <w:t>- il divieto di discriminazione</w:t>
      </w:r>
      <w:r w:rsidRPr="0022679C">
        <w:rPr>
          <w:rFonts w:asciiTheme="majorHAnsi" w:eastAsia="Palatino Linotype" w:hAnsiTheme="majorHAnsi" w:cstheme="majorHAnsi"/>
          <w:i/>
          <w:sz w:val="24"/>
          <w:szCs w:val="24"/>
        </w:rPr>
        <w:t xml:space="preserve">; </w:t>
      </w:r>
    </w:p>
    <w:p w14:paraId="6A5A1AD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la previsione che la denuncia sia sottratta al diritto di accesso (fatta esclusione delle ipotesi  eccezionali descritte nel comma 2 del nuovo art. 54-</w:t>
      </w:r>
      <w:r w:rsidRPr="0022679C">
        <w:rPr>
          <w:rFonts w:asciiTheme="majorHAnsi" w:eastAsia="Palatino Linotype" w:hAnsiTheme="majorHAnsi" w:cstheme="majorHAnsi"/>
          <w:i/>
          <w:sz w:val="24"/>
          <w:szCs w:val="24"/>
        </w:rPr>
        <w:t>bis</w:t>
      </w:r>
      <w:r w:rsidRPr="0022679C">
        <w:rPr>
          <w:rFonts w:asciiTheme="majorHAnsi" w:eastAsia="Palatino Linotype" w:hAnsiTheme="majorHAnsi" w:cstheme="majorHAnsi"/>
          <w:sz w:val="24"/>
          <w:szCs w:val="24"/>
        </w:rPr>
        <w:t xml:space="preserve">). </w:t>
      </w:r>
    </w:p>
    <w:p w14:paraId="1DC3C3E8" w14:textId="6E3EB0BF"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highlight w:val="yellow"/>
        </w:rPr>
      </w:pPr>
      <w:r w:rsidRPr="0022679C">
        <w:rPr>
          <w:rFonts w:asciiTheme="majorHAnsi" w:eastAsia="Palatino Linotype" w:hAnsiTheme="majorHAnsi" w:cstheme="majorHAnsi"/>
          <w:sz w:val="24"/>
          <w:szCs w:val="24"/>
        </w:rPr>
        <w:t xml:space="preserve">La segnalazione può essere presentata </w:t>
      </w:r>
      <w:r w:rsidR="003F23CE" w:rsidRPr="003F23CE">
        <w:rPr>
          <w:rFonts w:asciiTheme="majorHAnsi" w:eastAsia="Palatino Linotype" w:hAnsiTheme="majorHAnsi" w:cstheme="majorHAnsi"/>
          <w:sz w:val="24"/>
          <w:szCs w:val="24"/>
        </w:rPr>
        <w:t>al Segretario comunale.</w:t>
      </w:r>
    </w:p>
    <w:p w14:paraId="7A3F580B" w14:textId="77777777" w:rsidR="00DC24FB"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1BE9E7CC" w14:textId="77777777" w:rsidR="00716E36" w:rsidRPr="0022679C"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6B21AA1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i/>
          <w:sz w:val="24"/>
          <w:szCs w:val="24"/>
        </w:rPr>
      </w:pPr>
      <w:r w:rsidRPr="0022679C">
        <w:rPr>
          <w:rFonts w:asciiTheme="majorHAnsi" w:eastAsia="Palatino Linotype" w:hAnsiTheme="majorHAnsi" w:cstheme="majorHAnsi"/>
          <w:b/>
          <w:i/>
          <w:sz w:val="24"/>
          <w:szCs w:val="24"/>
        </w:rPr>
        <w:t xml:space="preserve">k) Accesso e permanenza nell’incarico pubblico e nelle cariche pubbliche </w:t>
      </w:r>
    </w:p>
    <w:p w14:paraId="0587E7CA"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L’art. 3, co. 1, della L. n. 97/2001 prevede che quando nei confronti di un dipendente di un ente di  un ente pubblico venga disposto il giudizio per i delitti di cui agli artt. 314, primo comma, 317, 318,  319, 319-ter , 319-quater e 320 del codice penale e dall'articolo 3 della legge 9 dicembre 1941,  n. 1383, l’amministrazione di appartenenza del dipendente procede al trasferimento d’ufficio un ufficio  diverso da quello in cui prestava servizio al momento del fatto, con attribuzione di funzioni  corrispondenti, per inquadramento, mansioni e prospettive di carriera, a quelle svolte in precedenza.  L'amministrazione di appartenenza, in relazione alla propria organizzazione, può procedere al  trasferimento di sede, o all’ attribuzione di un incarico differente da quello già svolto dal dipendente, in  presenza di evidenti motivi di opportunità circa la permanenza del dipendente nell'ufficio in  considerazione del discredito che l'amministrazione stessa può ricevere da tale permanenza. </w:t>
      </w:r>
    </w:p>
    <w:p w14:paraId="49D3EE59"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dipendente interessato è tenuto a comunicare la sussistenza di un procedimento penale a carico o di un rinvio a giudizio. </w:t>
      </w:r>
    </w:p>
    <w:p w14:paraId="626BAE7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Misura:</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 xml:space="preserve">l'amministrazione trasferisce il dipendente ad un ufficio diverso da quello in cui prestava servizio al momento del fatto,  con attribuzione di funzioni corrispondenti, per inquadramento, mansioni e prospettive di carriera, a quelle svolte in precedenza. In caso di impossibilità di trasferimento in ragione della qualifica rivestita, ovvero per obiettivi motivi organizzativi, il dipendente è invece posto in posizione di aspettativa o di disponibilità,  con diritto al trattamento economico in godimento. Per altri reati l’amministrazione valuterà il trasferimento del dipendente.  </w:t>
      </w:r>
    </w:p>
    <w:p w14:paraId="5811C94D"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u w:val="single"/>
        </w:rPr>
        <w:t>Responsabile della misura:</w:t>
      </w:r>
      <w:r w:rsidRPr="0022679C">
        <w:rPr>
          <w:rFonts w:asciiTheme="majorHAnsi" w:eastAsia="Palatino Linotype" w:hAnsiTheme="majorHAnsi" w:cstheme="majorHAnsi"/>
          <w:b/>
          <w:sz w:val="24"/>
          <w:szCs w:val="24"/>
        </w:rPr>
        <w:t xml:space="preserve"> </w:t>
      </w:r>
      <w:r w:rsidRPr="0022679C">
        <w:rPr>
          <w:rFonts w:asciiTheme="majorHAnsi" w:eastAsia="Palatino Linotype" w:hAnsiTheme="majorHAnsi" w:cstheme="majorHAnsi"/>
          <w:sz w:val="24"/>
          <w:szCs w:val="24"/>
        </w:rPr>
        <w:t xml:space="preserve">Ogni Responsabile nei confronti del proprio dipendente e il  Segretario comunale nei confronti del Responsabile. </w:t>
      </w:r>
      <w:r w:rsidRPr="0022679C">
        <w:rPr>
          <w:rFonts w:asciiTheme="majorHAnsi" w:hAnsiTheme="majorHAnsi" w:cstheme="majorHAnsi"/>
          <w:sz w:val="24"/>
          <w:szCs w:val="24"/>
        </w:rPr>
        <w:br w:type="page"/>
      </w:r>
    </w:p>
    <w:p w14:paraId="3D646B49"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5074A0F7" w14:textId="77777777" w:rsidR="00DC24FB" w:rsidRPr="0022679C" w:rsidRDefault="00A6469A" w:rsidP="00716E36">
      <w:pPr>
        <w:widowControl w:val="0"/>
        <w:pBdr>
          <w:top w:val="nil"/>
          <w:left w:val="nil"/>
          <w:bottom w:val="nil"/>
          <w:right w:val="nil"/>
          <w:between w:val="nil"/>
        </w:pBdr>
        <w:shd w:val="clear" w:color="auto" w:fill="C6D9F1" w:themeFill="text2" w:themeFillTint="33"/>
        <w:spacing w:line="240" w:lineRule="auto"/>
        <w:ind w:left="1133" w:right="873"/>
        <w:contextualSpacing/>
        <w:jc w:val="center"/>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TRASPARENZA</w:t>
      </w:r>
    </w:p>
    <w:p w14:paraId="25500E95"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 Legge 6 novembre 2012, n. 190, “Disposizioni per la prevenzione e la repressione della corruzione e  dell’illegalità nella pubblica amministrazione”, considera la trasparenza dell'attività amministrativa uno  dei principali strumenti per contrastare il fenomeno della corruzione. </w:t>
      </w:r>
    </w:p>
    <w:p w14:paraId="0B4C1E5C"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Anche il D. Lgs. n. 97/2016, che modifica il D.Lgs n. 33/2013, prevede la promozione di maggiori  livelli di pubblicità, trasparenza e diffusione di informazioni, che devono rappresentare un obiettivo  strategico dell’ente e devono tradursi in obiettivi organizzativi e individuali. </w:t>
      </w:r>
    </w:p>
    <w:p w14:paraId="023553B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Le attività finalizzate a dare attuazione agli obblighi di trasparenza sono state realizzate con esito  positivo con particolare riferimento al presidio e verifica dei tempi di aggiornamento dei dati secondo  quanto previsto dalla delibera A.N.A.C. n. 1310/2016, allegato n. 1, al supporto del OIV per  l’attestazione annuale di conformità dei dati pubblicati. </w:t>
      </w:r>
    </w:p>
    <w:p w14:paraId="52D85D7B"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Le stesse sono state svolte anche grazie al presidio e la gestione del sito web istituzionale in ordine  agli obblighi di pubblicazione e di aggiornamento dei dati e delle informazioni.  </w:t>
      </w:r>
    </w:p>
    <w:p w14:paraId="518709A8"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L’applicazione di queste regole consentirà nel tempo di avere a livello nazionale siti web accessibili,  usabili, con un layout grafico simile, così da consentire al cittadino un approccio immediato nella  navigazione dei siti web istituzionali, indipendentemente dall’Ente. </w:t>
      </w:r>
    </w:p>
    <w:p w14:paraId="448A57EF"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 vincoli stringenti sulle assunzioni e, quindi, la carenza di personale, non consentono di individuare  alcun obbligo di trasparenza aggiuntivo rispetto a quelli previsti dalla Legge. Gli obblighi di trasparenza  a carico dell’ente sono, pertanto, quelli che discendono dal D. Lgs 14 marzo 2013, n. 33. </w:t>
      </w:r>
    </w:p>
    <w:p w14:paraId="0A5C46DE" w14:textId="77777777" w:rsidR="00DC24FB"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Nell’ambito dell’allegata Tabella degli obblighi di pubblicazione, ai fini del  rispetto dell’art. 10 del D. Lgs 33 del 2013, vengono indicati i responsabili della trasmissione, della  pubblicazione dei documenti, delle informazioni e dei dati nonché di ogni altro adempimento previsto  dai singoli articoli del decreto n. 33.  </w:t>
      </w:r>
    </w:p>
    <w:p w14:paraId="58F1A02C" w14:textId="77777777" w:rsidR="00716E36" w:rsidRPr="0022679C"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p>
    <w:p w14:paraId="11175A5D"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b/>
          <w:sz w:val="24"/>
          <w:szCs w:val="24"/>
        </w:rPr>
        <w:t>Trasparenza e disciplina della tutela dei dati personali (REG. UE 2016/679)</w:t>
      </w:r>
      <w:r w:rsidRPr="0022679C">
        <w:rPr>
          <w:rFonts w:asciiTheme="majorHAnsi" w:eastAsia="Palatino Linotype" w:hAnsiTheme="majorHAnsi" w:cstheme="majorHAnsi"/>
          <w:sz w:val="24"/>
          <w:szCs w:val="24"/>
        </w:rPr>
        <w:t xml:space="preserve"> </w:t>
      </w:r>
    </w:p>
    <w:p w14:paraId="47F25F9A"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A seguito dell’entrata in vigore, il 25 maggio 2018, del Regolamento (UE) 2016/679 del Parlamento  Europeo e del Consiglio del 27 aprile 2016 </w:t>
      </w:r>
      <w:r w:rsidRPr="0022679C">
        <w:rPr>
          <w:rFonts w:asciiTheme="majorHAnsi" w:eastAsia="Palatino Linotype" w:hAnsiTheme="majorHAnsi" w:cstheme="majorHAnsi"/>
          <w:i/>
          <w:sz w:val="24"/>
          <w:szCs w:val="24"/>
        </w:rPr>
        <w:t xml:space="preserve">«relativo alla protezione delle persone fisiche con riguardo al  trattamento dei dati personali, nonché alla libera circolazione di tali dati e che abroga la direttiva 95/47/CE  (Regolamento generale sulla protezione dei dati)» </w:t>
      </w:r>
      <w:r w:rsidRPr="0022679C">
        <w:rPr>
          <w:rFonts w:asciiTheme="majorHAnsi" w:eastAsia="Palatino Linotype" w:hAnsiTheme="majorHAnsi" w:cstheme="majorHAnsi"/>
          <w:sz w:val="24"/>
          <w:szCs w:val="24"/>
        </w:rPr>
        <w:t xml:space="preserve">(di seguito RGPD) e, il 19 settembre 2018, del decreto  legislativo 10 agosto 2018, n. 101 che adegua il Codice in materia di protezione dei dati personali - decreto legislativo 30 giugno 2003, n. 196 - alle disposizioni del Regolamento (UE) 2016/679, sono stati  richiesti chiarimenti all’Autorità sulla compatibilità della nuova disciplina con gli obblighi di  pubblicazione previsti dal d.lgs. 33/2013.  </w:t>
      </w:r>
    </w:p>
    <w:p w14:paraId="384A6B2A"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i/>
          <w:sz w:val="24"/>
          <w:szCs w:val="24"/>
        </w:rPr>
      </w:pPr>
      <w:r w:rsidRPr="0022679C">
        <w:rPr>
          <w:rFonts w:asciiTheme="majorHAnsi" w:eastAsia="Palatino Linotype" w:hAnsiTheme="majorHAnsi" w:cstheme="majorHAnsi"/>
          <w:sz w:val="24"/>
          <w:szCs w:val="24"/>
        </w:rPr>
        <w:t xml:space="preserve">Occorre evidenziare, al riguardo, che l’art. 2-ter del d.lgs. 196/2003, introdotto dal d.lgs. 101/2018, in  continuità con il previgente articolo 19 del Codice, dispone, al comma 1, che la base giuridica per il  trattamento di dati personali effettuato per l’esecuzione di un compito di interesse pubblico o connesso  all’esercizio di pubblici poteri, ai sensi dell’art. 6, paragrafo 3, lett. b) del Regolamento (UE) 2016/679,  </w:t>
      </w:r>
      <w:r w:rsidRPr="0022679C">
        <w:rPr>
          <w:rFonts w:asciiTheme="majorHAnsi" w:eastAsia="Palatino Linotype" w:hAnsiTheme="majorHAnsi" w:cstheme="majorHAnsi"/>
          <w:i/>
          <w:sz w:val="24"/>
          <w:szCs w:val="24"/>
        </w:rPr>
        <w:t xml:space="preserve">«è costituita esclusivamente da una norma di legge o, nei casi previsti dalla legge, di regolamento». </w:t>
      </w:r>
      <w:r w:rsidRPr="0022679C">
        <w:rPr>
          <w:rFonts w:asciiTheme="majorHAnsi" w:eastAsia="Palatino Linotype" w:hAnsiTheme="majorHAnsi" w:cstheme="majorHAnsi"/>
          <w:sz w:val="24"/>
          <w:szCs w:val="24"/>
        </w:rPr>
        <w:t xml:space="preserve">Inoltre il comma 3  del medesimo articolo stabilisce che </w:t>
      </w:r>
      <w:r w:rsidRPr="0022679C">
        <w:rPr>
          <w:rFonts w:asciiTheme="majorHAnsi" w:eastAsia="Palatino Linotype" w:hAnsiTheme="majorHAnsi" w:cstheme="majorHAnsi"/>
          <w:i/>
          <w:sz w:val="24"/>
          <w:szCs w:val="24"/>
        </w:rPr>
        <w:t xml:space="preserve">«La diffusione e la comunicazione di dati personali, trattati per l’esecuzione di  un compito di interesse pubblico o connesso all’esercizio di pubblici poteri, a soggetti che intendono trattarli per altre  finalità sono ammesse unicamente se previste ai sensi del comma 1».  </w:t>
      </w:r>
    </w:p>
    <w:p w14:paraId="19FE0A65"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regime normativo per il trattamento di dati personali da parte dei soggetti pubblici è quindi, rimasto  sostanzialmente inalterato restando fermo il principio che esso è consentito unicamente se ammesso da  una norma di legge o di regolamento. Pertanto, occorre che i Responsabili di Settore, prima di mettere a  disposizione sul sito web istituzionale dati e </w:t>
      </w:r>
      <w:r w:rsidRPr="0022679C">
        <w:rPr>
          <w:rFonts w:asciiTheme="majorHAnsi" w:eastAsia="Palatino Linotype" w:hAnsiTheme="majorHAnsi" w:cstheme="majorHAnsi"/>
          <w:sz w:val="24"/>
          <w:szCs w:val="24"/>
        </w:rPr>
        <w:lastRenderedPageBreak/>
        <w:t xml:space="preserve">documenti (in forma integrale o per estratto, ivi compresi  gli allegati) contenenti dati personali, verifichino che la disciplina in materia di trasparenza contenuta nel  d.lgs. 33/2013 o in altre normative, anche di settore, preveda l’obbligo di pubblicazione.  </w:t>
      </w:r>
    </w:p>
    <w:p w14:paraId="41E179E4"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Giova rammentare, tuttavia, che l’attività di pubblicazione dei dati sui siti web per finalità di trasparenza,  anche se effettuata in presenza di idoneo presupposto normativo, deve avvenire nel rispetto di tutti i  principi applicabili al trattamento dei dati personali contenuti all’art. 5 del Regolamento (UE) 2016/679.  In particolare assumono rilievo i </w:t>
      </w:r>
      <w:r w:rsidRPr="0022679C">
        <w:rPr>
          <w:rFonts w:asciiTheme="majorHAnsi" w:eastAsia="Palatino Linotype" w:hAnsiTheme="majorHAnsi" w:cstheme="majorHAnsi"/>
          <w:sz w:val="24"/>
          <w:szCs w:val="24"/>
          <w:u w:val="single"/>
        </w:rPr>
        <w:t>principi di adeguatezza, pertinenza e limitazione a quanto necessario</w:t>
      </w:r>
      <w:r w:rsidRPr="0022679C">
        <w:rPr>
          <w:rFonts w:asciiTheme="majorHAnsi" w:eastAsia="Palatino Linotype" w:hAnsiTheme="majorHAnsi" w:cstheme="majorHAnsi"/>
          <w:sz w:val="24"/>
          <w:szCs w:val="24"/>
        </w:rPr>
        <w:t xml:space="preserve"> rispetto alle finalità per le quali i dati personali sono trattati («minimizzazione dei dati») (par. 1, lett. c) e  quelli di esattezza e aggiornamento dei dati, con il conseguente dovere di adottare tutte le misure  ragionevoli per cancellare o rettificare tempestivamente i dati inesatti rispetto alle finalità per le quali  sono trattati (par. 1, lett. d).  </w:t>
      </w:r>
    </w:p>
    <w:p w14:paraId="020DF853"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Il medesimo d.lgs. 33/2013 all’art. 7 bis, co. 4, dispone inoltre che «</w:t>
      </w:r>
      <w:r w:rsidRPr="0022679C">
        <w:rPr>
          <w:rFonts w:asciiTheme="majorHAnsi" w:eastAsia="Palatino Linotype" w:hAnsiTheme="majorHAnsi" w:cstheme="majorHAnsi"/>
          <w:i/>
          <w:sz w:val="24"/>
          <w:szCs w:val="24"/>
        </w:rPr>
        <w:t>Nei casi in cui norme di legge o di  regolamento prevedano la pubblicazione di atti o documenti, le pubbliche amministrazioni provvedono a rendere non  intelligibili i dati personali non pertinenti o, se sensibili o giudiziari, non indispensabili rispetto alle specifiche finalità di  trasparenza della pubblicazione</w:t>
      </w:r>
      <w:r w:rsidRPr="0022679C">
        <w:rPr>
          <w:rFonts w:asciiTheme="majorHAnsi" w:eastAsia="Palatino Linotype" w:hAnsiTheme="majorHAnsi" w:cstheme="majorHAnsi"/>
          <w:sz w:val="24"/>
          <w:szCs w:val="24"/>
        </w:rPr>
        <w:t xml:space="preserve">». Si richiama anche quanto previsto all’art. 6 del d.lgs. 33/2013 rubricato  “Qualità delle informazioni” che risponde alla esigenza di assicurare esattezza, completezza, aggiornamento e adeguatezza dei dati pubblicati.  </w:t>
      </w:r>
    </w:p>
    <w:p w14:paraId="6CFC291E" w14:textId="77777777" w:rsidR="00DC24FB"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Il Responsabile della Protezione dei Dati-RPD o DPO svolge specifici compiti, anche di supporto, per  tutta l’amministrazione essendo chiamato a informare, fornire consulenza e sorvegliare in relazione al  rispetto degli obblighi derivanti della normativa in materia di protezione dei dati personali (art. 39 del  RGPD).  </w:t>
      </w:r>
    </w:p>
    <w:p w14:paraId="6EB0881D" w14:textId="77777777" w:rsidR="00716E36" w:rsidRPr="0022679C" w:rsidRDefault="00716E36" w:rsidP="004A2999">
      <w:pPr>
        <w:widowControl w:val="0"/>
        <w:spacing w:line="240" w:lineRule="auto"/>
        <w:ind w:left="1133" w:right="873"/>
        <w:contextualSpacing/>
        <w:jc w:val="both"/>
        <w:rPr>
          <w:rFonts w:asciiTheme="majorHAnsi" w:eastAsia="Palatino Linotype" w:hAnsiTheme="majorHAnsi" w:cstheme="majorHAnsi"/>
          <w:sz w:val="24"/>
          <w:szCs w:val="24"/>
        </w:rPr>
      </w:pPr>
    </w:p>
    <w:p w14:paraId="20C2611C"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 xml:space="preserve">Rapporti RPCT e Responsabile della Protezione dei Dati - RPD O DPO </w:t>
      </w:r>
    </w:p>
    <w:p w14:paraId="5C14274B"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Con riguardo ai rapporti fra il Responsabile della prevenzione della corruzione (RPCT) e il  Responsabile della protezione dei dati – RPD/DPO, figura introdotta dal Regolamento (UE) 2016/679  (artt. 37-39), si evidenzia che, secondo le previsioni normative, il RPC è scelto fra personale interno  alle amministrazioni o enti (si rinvia al riguardo all’art. 1, co. 7, della l. 190/2012 e alle precisazioni  contenute nei Piani nazionali anticorruzione); diversamente il RPD può essere individuato  in una professionalità interna all’ente o assolvere ai suoi compiti in base ad un contratto di servizi  stipulato con persona fisica o giuridica esterna all’ente (art. 37 del Regolamento (UE) 2016/679).  </w:t>
      </w:r>
    </w:p>
    <w:p w14:paraId="0C3443F6"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L’Anac ritiene che tale figura non debba coincidere con il RPC. Si valuta, infatti, che la  sovrapposizione dei due ruoli possa rischiare di limitare l’effettività dello svolgimento delle attività riconducibili alle due diverse funzioni, tenuto conto dei numerosi compiti e responsabilità che la  normativa attribuisce sia al RPD che al RPCT.  </w:t>
      </w:r>
    </w:p>
    <w:p w14:paraId="4C1FF46E"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i/>
          <w:sz w:val="24"/>
          <w:szCs w:val="24"/>
        </w:rPr>
      </w:pPr>
      <w:r w:rsidRPr="0022679C">
        <w:rPr>
          <w:rFonts w:asciiTheme="majorHAnsi" w:eastAsia="Palatino Linotype" w:hAnsiTheme="majorHAnsi" w:cstheme="majorHAnsi"/>
          <w:sz w:val="24"/>
          <w:szCs w:val="24"/>
        </w:rPr>
        <w:t xml:space="preserve">Giova sottolineare che il medesimo orientamento è stato espresso dal Garante per la protezione dei dati  personali nella FAQ n. 7 relativa al RPD in ambito pubblico, laddove ha chiarito che </w:t>
      </w:r>
      <w:r w:rsidRPr="0022679C">
        <w:rPr>
          <w:rFonts w:asciiTheme="majorHAnsi" w:eastAsia="Palatino Linotype" w:hAnsiTheme="majorHAnsi" w:cstheme="majorHAnsi"/>
          <w:i/>
          <w:sz w:val="24"/>
          <w:szCs w:val="24"/>
        </w:rPr>
        <w:t xml:space="preserve">«In linea di principio,  è quindi ragionevole che negli enti pubblici di grandi dimensioni, con trattamenti di dati personali di particolare  complessità e sensibilità, non vengano assegnate al RPD ulteriori responsabilità (si pensi, ad esempio, alle  amministrazioni centrali, alle agenzie, agli istituti previdenziali, nonché alle regioni e alle ASL). In tale quadro, ad  esempio, avuto riguardo, caso per caso, alla specifica struttura organizzativa, alla dimensione e alle attività del singolo  titolare o responsabile, l’attribuzione delle funzioni di RPD al responsabile per la prevenzione della corruzione e per la  trasparenza, considerata la molteplicità degli adempimenti che incombono su tale figura, potrebbe rischiare di creare un  cumulo di impegni tali da incidere negativamente sull’effettività dello svolgimento dei compiti che il RGPD attribuisce al  RPD».  </w:t>
      </w:r>
    </w:p>
    <w:p w14:paraId="00F1056B" w14:textId="77777777" w:rsidR="00DC24FB" w:rsidRPr="0022679C" w:rsidRDefault="00A6469A" w:rsidP="004A2999">
      <w:pPr>
        <w:widowControl w:val="0"/>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Resta fermo che, per le questioni di carattere generale riguardanti la protezione dei dati </w:t>
      </w:r>
      <w:r w:rsidRPr="0022679C">
        <w:rPr>
          <w:rFonts w:asciiTheme="majorHAnsi" w:eastAsia="Palatino Linotype" w:hAnsiTheme="majorHAnsi" w:cstheme="majorHAnsi"/>
          <w:sz w:val="24"/>
          <w:szCs w:val="24"/>
        </w:rPr>
        <w:lastRenderedPageBreak/>
        <w:t xml:space="preserve">personali, il  DPO costituisce una figura di riferimento anche per il RPCT, anche se naturalmente non può sostituirsi  ad esso nell’esercizio delle funzioni. Si consideri, ad esempio, il caso delle istanze di riesame di decisioni  sull’accesso civico generalizzato che, per quanto possano riguardare profili attinenti alla protezione dei  dati personali, sono decise dal RPCT con richiesta di parere al Garante per la protezione dei dati  personali ai sensi dell’art. 5, co. 7, del d.lgs. 33/2013. In questi casi il RPCT ben si può avvalere, se  ritenuto necessario, di un supporto del RDP nell’ambito di un rapporto di collaborazione interna fra gli  uffici ma limitatamente a profili di carattere generale, tenuto conto che proprio la legge attribuisce al  RPCT il potere di richiedere un parere al Garante per la protezione dei dati personali. Ciò anche se il  RPD sia stato eventualmente già consultato in prima istanza dall’ufficio che ha riscontrato l’accesso  civico oggetto del riesame.  </w:t>
      </w:r>
      <w:r w:rsidRPr="0022679C">
        <w:rPr>
          <w:rFonts w:asciiTheme="majorHAnsi" w:hAnsiTheme="majorHAnsi" w:cstheme="majorHAnsi"/>
          <w:sz w:val="24"/>
          <w:szCs w:val="24"/>
        </w:rPr>
        <w:br w:type="page"/>
      </w:r>
    </w:p>
    <w:p w14:paraId="39698B1A" w14:textId="064CD291" w:rsidR="00DC24FB" w:rsidRPr="0022679C" w:rsidRDefault="00716E36" w:rsidP="00716E36">
      <w:pPr>
        <w:widowControl w:val="0"/>
        <w:pBdr>
          <w:top w:val="nil"/>
          <w:left w:val="nil"/>
          <w:bottom w:val="nil"/>
          <w:right w:val="nil"/>
          <w:between w:val="nil"/>
        </w:pBdr>
        <w:shd w:val="clear" w:color="auto" w:fill="C6D9F1" w:themeFill="text2" w:themeFillTint="33"/>
        <w:spacing w:line="240" w:lineRule="auto"/>
        <w:ind w:left="1133" w:right="873"/>
        <w:contextualSpacing/>
        <w:jc w:val="center"/>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lastRenderedPageBreak/>
        <w:t>ACCESSO</w:t>
      </w:r>
    </w:p>
    <w:p w14:paraId="210A24E3" w14:textId="23254C7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Nel rinviare alla disciplina vigente in materia di accesso, accesso civico semplice e accesso civico generalizzato, </w:t>
      </w:r>
      <w:r w:rsidRPr="0022679C">
        <w:rPr>
          <w:rFonts w:asciiTheme="majorHAnsi" w:eastAsia="Palatino Linotype" w:hAnsiTheme="majorHAnsi" w:cstheme="majorHAnsi"/>
          <w:sz w:val="24"/>
          <w:szCs w:val="24"/>
          <w:highlight w:val="white"/>
        </w:rPr>
        <w:t xml:space="preserve">si dà in questa sede atto che il Comune ha approvato con deliberazione del Consiglio Comunale n. </w:t>
      </w:r>
      <w:r w:rsidRPr="00A6469A">
        <w:rPr>
          <w:rFonts w:asciiTheme="majorHAnsi" w:eastAsia="Palatino Linotype" w:hAnsiTheme="majorHAnsi" w:cstheme="majorHAnsi"/>
          <w:sz w:val="24"/>
          <w:szCs w:val="24"/>
        </w:rPr>
        <w:t xml:space="preserve">16 del 31/07/2017 il </w:t>
      </w:r>
      <w:r w:rsidRPr="0022679C">
        <w:rPr>
          <w:rFonts w:asciiTheme="majorHAnsi" w:eastAsia="Palatino Linotype" w:hAnsiTheme="majorHAnsi" w:cstheme="majorHAnsi"/>
          <w:sz w:val="24"/>
          <w:szCs w:val="24"/>
          <w:highlight w:val="white"/>
        </w:rPr>
        <w:t xml:space="preserve">proprio regolamento recante la disciplina del diritto di accesso civico, del diritto di accesso </w:t>
      </w:r>
      <w:r w:rsidRPr="0022679C">
        <w:rPr>
          <w:rFonts w:asciiTheme="majorHAnsi" w:eastAsia="Palatino Linotype" w:hAnsiTheme="majorHAnsi" w:cstheme="majorHAnsi"/>
          <w:sz w:val="24"/>
          <w:szCs w:val="24"/>
        </w:rPr>
        <w:t xml:space="preserve"> </w:t>
      </w:r>
      <w:r w:rsidRPr="0022679C">
        <w:rPr>
          <w:rFonts w:asciiTheme="majorHAnsi" w:eastAsia="Palatino Linotype" w:hAnsiTheme="majorHAnsi" w:cstheme="majorHAnsi"/>
          <w:sz w:val="24"/>
          <w:szCs w:val="24"/>
          <w:highlight w:val="white"/>
        </w:rPr>
        <w:t>generalizzato e del diritto di accesso documentale.</w:t>
      </w:r>
      <w:r w:rsidRPr="0022679C">
        <w:rPr>
          <w:rFonts w:asciiTheme="majorHAnsi" w:eastAsia="Palatino Linotype" w:hAnsiTheme="majorHAnsi" w:cstheme="majorHAnsi"/>
          <w:sz w:val="24"/>
          <w:szCs w:val="24"/>
        </w:rPr>
        <w:t xml:space="preserve"> </w:t>
      </w:r>
    </w:p>
    <w:p w14:paraId="1A5DC92B"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1D35DF80" w14:textId="2B87F8BA"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r w:rsidRPr="0022679C">
        <w:rPr>
          <w:rFonts w:asciiTheme="majorHAnsi" w:eastAsia="Palatino Linotype" w:hAnsiTheme="majorHAnsi" w:cstheme="majorHAnsi"/>
          <w:b/>
          <w:sz w:val="24"/>
          <w:szCs w:val="24"/>
        </w:rPr>
        <w:t>Misure</w:t>
      </w:r>
    </w:p>
    <w:p w14:paraId="36CBEC78"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1) Pubblicazione delle modalità per l’esercizio dell’accesso civico in apposita sezione del sito  “Amministrazione Trasparente - Altri contenuti – Accesso civico”. </w:t>
      </w:r>
    </w:p>
    <w:p w14:paraId="483B8F8F"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2) Pubblicazione della relativa modulistica in apposita sezione del sito “Amministrazione Trasparente - Altri contenuti – Accesso civico”. </w:t>
      </w:r>
    </w:p>
    <w:p w14:paraId="2FFF443B" w14:textId="68F2365B"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3) Adozione/adeguamento da parte di ciascun Responsabile di Settore del registro in cui indicare tutte le istanze di accesso civico semplice e generalizzato di rispettiva competenza, al fine di tenere sotto  controllo i relativi procedimenti e assicurarne la conclusione.  </w:t>
      </w:r>
    </w:p>
    <w:p w14:paraId="6EE958C2" w14:textId="2F1C40D0"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4) Pubblicazione, entro detto termine, a cura di ciascun responsabile di Settore in apposita sezione del sito “Amministrazione Trasparente - Altri contenuti – Accesso civico”. </w:t>
      </w:r>
    </w:p>
    <w:p w14:paraId="08FEF5B4"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3824AB2B"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71C773F9"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0BB9121E" w14:textId="77777777" w:rsidR="00DC24FB"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34EB4E0D"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17BF2FE5"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52C9DF79"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79618ED2"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5A8B5DD3"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757C4A4B"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3F2A5EE1"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63AB380D"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352DFD58"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46B0F9D5"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0DC43A83"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385251B3"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482C9B3A"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641BA3FE"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2EA8A9E8"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4B6B0947"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639CCA81" w14:textId="77777777" w:rsidR="00DE2AD7" w:rsidRDefault="00DE2AD7"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16F2B30F" w14:textId="77777777" w:rsidR="00716E36"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6B02BF71" w14:textId="77777777" w:rsidR="00716E36" w:rsidRPr="0022679C" w:rsidRDefault="00716E36"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55F8C9B6" w14:textId="77777777" w:rsidR="00DC24FB" w:rsidRPr="0022679C" w:rsidRDefault="00DC24FB"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rPr>
      </w:pPr>
    </w:p>
    <w:p w14:paraId="445F2987" w14:textId="77777777" w:rsidR="00DC24FB" w:rsidRPr="00DE2AD7"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b/>
          <w:sz w:val="24"/>
          <w:szCs w:val="24"/>
          <w:u w:val="single"/>
        </w:rPr>
      </w:pPr>
      <w:r w:rsidRPr="00DE2AD7">
        <w:rPr>
          <w:rFonts w:asciiTheme="majorHAnsi" w:eastAsia="Palatino Linotype" w:hAnsiTheme="majorHAnsi" w:cstheme="majorHAnsi"/>
          <w:b/>
          <w:sz w:val="24"/>
          <w:szCs w:val="24"/>
          <w:u w:val="single"/>
        </w:rPr>
        <w:t xml:space="preserve">ALLEGATI </w:t>
      </w:r>
    </w:p>
    <w:p w14:paraId="11C8F4CA"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xml:space="preserve">− ALLEGATO A) - Schede misure di rischio specifiche; </w:t>
      </w:r>
    </w:p>
    <w:p w14:paraId="6563AD91" w14:textId="77777777" w:rsidR="00DC24FB" w:rsidRPr="0022679C" w:rsidRDefault="00A6469A" w:rsidP="004A2999">
      <w:pPr>
        <w:widowControl w:val="0"/>
        <w:pBdr>
          <w:top w:val="nil"/>
          <w:left w:val="nil"/>
          <w:bottom w:val="nil"/>
          <w:right w:val="nil"/>
          <w:between w:val="nil"/>
        </w:pBdr>
        <w:spacing w:line="240" w:lineRule="auto"/>
        <w:ind w:left="1133" w:right="873"/>
        <w:contextualSpacing/>
        <w:jc w:val="both"/>
        <w:rPr>
          <w:rFonts w:asciiTheme="majorHAnsi" w:eastAsia="Palatino Linotype" w:hAnsiTheme="majorHAnsi" w:cstheme="majorHAnsi"/>
          <w:sz w:val="24"/>
          <w:szCs w:val="24"/>
        </w:rPr>
      </w:pPr>
      <w:r w:rsidRPr="0022679C">
        <w:rPr>
          <w:rFonts w:asciiTheme="majorHAnsi" w:eastAsia="Palatino Linotype" w:hAnsiTheme="majorHAnsi" w:cstheme="majorHAnsi"/>
          <w:sz w:val="24"/>
          <w:szCs w:val="24"/>
        </w:rPr>
        <w:t>− ALLEGATO B) – Tabella degli obblighi di pubblicazione</w:t>
      </w:r>
    </w:p>
    <w:sectPr w:rsidR="00DC24FB" w:rsidRPr="0022679C">
      <w:type w:val="continuous"/>
      <w:pgSz w:w="11900" w:h="16820"/>
      <w:pgMar w:top="1092" w:right="693" w:bottom="868" w:left="0" w:header="0" w:footer="720" w:gutter="0"/>
      <w:cols w:space="720" w:equalWidth="0">
        <w:col w:w="11211"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857D8"/>
    <w:multiLevelType w:val="multilevel"/>
    <w:tmpl w:val="7F1851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0CD6397"/>
    <w:multiLevelType w:val="multilevel"/>
    <w:tmpl w:val="C31E0D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374E6563"/>
    <w:multiLevelType w:val="multilevel"/>
    <w:tmpl w:val="8190F29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9C95F43"/>
    <w:multiLevelType w:val="multilevel"/>
    <w:tmpl w:val="CA2ECF9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7BF12948"/>
    <w:multiLevelType w:val="multilevel"/>
    <w:tmpl w:val="ADE80F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7D393E25"/>
    <w:multiLevelType w:val="multilevel"/>
    <w:tmpl w:val="B42C76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5"/>
  </w:num>
  <w:num w:numId="2">
    <w:abstractNumId w:val="4"/>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4FB"/>
    <w:rsid w:val="00100F14"/>
    <w:rsid w:val="00155E36"/>
    <w:rsid w:val="0022679C"/>
    <w:rsid w:val="003F23CE"/>
    <w:rsid w:val="004A2999"/>
    <w:rsid w:val="004E2A37"/>
    <w:rsid w:val="00716E36"/>
    <w:rsid w:val="009D3C0C"/>
    <w:rsid w:val="00A6469A"/>
    <w:rsid w:val="00DC24FB"/>
    <w:rsid w:val="00DD243E"/>
    <w:rsid w:val="00DE2AD7"/>
    <w:rsid w:val="00FE73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9091E"/>
  <w15:docId w15:val="{1283D2B0-C1AA-4E9C-950A-DF0F4AAE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customStyle="1" w:styleId="Default">
    <w:name w:val="Default"/>
    <w:rsid w:val="0022679C"/>
    <w:pPr>
      <w:autoSpaceDE w:val="0"/>
      <w:autoSpaceDN w:val="0"/>
      <w:adjustRightInd w:val="0"/>
      <w:spacing w:line="240" w:lineRule="auto"/>
    </w:pPr>
    <w:rPr>
      <w:rFonts w:ascii="Calibri" w:hAnsi="Calibri" w:cs="Calibri"/>
      <w:color w:val="000000"/>
      <w:sz w:val="24"/>
      <w:szCs w:val="24"/>
    </w:rPr>
  </w:style>
  <w:style w:type="table" w:styleId="Grigliatabella">
    <w:name w:val="Table Grid"/>
    <w:basedOn w:val="Tabellanormale"/>
    <w:uiPriority w:val="39"/>
    <w:rsid w:val="004A29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rezioneinvestigativaantimafia.interno.gov.it/wp-content/uploads/2023/09/DIA_secondo_semestre_2022Rpdf.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29</Pages>
  <Words>12771</Words>
  <Characters>72798</Characters>
  <Application>Microsoft Office Word</Application>
  <DocSecurity>0</DocSecurity>
  <Lines>606</Lines>
  <Paragraphs>170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Jacopo Baraldi</cp:lastModifiedBy>
  <cp:revision>9</cp:revision>
  <dcterms:created xsi:type="dcterms:W3CDTF">2024-01-24T11:28:00Z</dcterms:created>
  <dcterms:modified xsi:type="dcterms:W3CDTF">2025-03-18T15:27:00Z</dcterms:modified>
</cp:coreProperties>
</file>